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D8258" w14:textId="77777777" w:rsidR="00344012" w:rsidRPr="00A538AF" w:rsidRDefault="00344012" w:rsidP="00C91881">
      <w:pPr>
        <w:jc w:val="center"/>
        <w:rPr>
          <w:rFonts w:cstheme="minorHAnsi"/>
          <w:b/>
        </w:rPr>
      </w:pPr>
    </w:p>
    <w:p w14:paraId="421F175F" w14:textId="1F2AF40E" w:rsidR="00F76D8E" w:rsidRPr="00290FB9" w:rsidRDefault="009561B5" w:rsidP="00290FB9">
      <w:pPr>
        <w:jc w:val="center"/>
        <w:rPr>
          <w:rFonts w:cstheme="minorHAnsi"/>
          <w:b/>
        </w:rPr>
      </w:pPr>
      <w:r>
        <w:rPr>
          <w:rFonts w:cstheme="minorHAnsi"/>
          <w:b/>
        </w:rPr>
        <w:t xml:space="preserve">Applying Lessons Learned from COVID-19 Vaccine Uptake to </w:t>
      </w:r>
      <w:r w:rsidR="00290FB9" w:rsidRPr="00290FB9">
        <w:rPr>
          <w:rFonts w:cstheme="minorHAnsi"/>
          <w:b/>
        </w:rPr>
        <w:t xml:space="preserve">Improve Cancer Health </w:t>
      </w:r>
      <w:r w:rsidR="00290FB9">
        <w:rPr>
          <w:rFonts w:cstheme="minorHAnsi"/>
          <w:b/>
        </w:rPr>
        <w:t xml:space="preserve">Equity </w:t>
      </w:r>
      <w:r w:rsidR="00CC66E4">
        <w:rPr>
          <w:rFonts w:cstheme="minorHAnsi"/>
          <w:b/>
        </w:rPr>
        <w:t xml:space="preserve">Among </w:t>
      </w:r>
      <w:r>
        <w:rPr>
          <w:rFonts w:cstheme="minorHAnsi"/>
          <w:b/>
        </w:rPr>
        <w:t>Vulnerable</w:t>
      </w:r>
      <w:r w:rsidR="00CC66E4">
        <w:rPr>
          <w:rFonts w:cstheme="minorHAnsi"/>
          <w:b/>
        </w:rPr>
        <w:t xml:space="preserve"> Populations </w:t>
      </w:r>
      <w:r w:rsidR="00467FFB">
        <w:rPr>
          <w:rFonts w:cstheme="minorHAnsi"/>
          <w:b/>
        </w:rPr>
        <w:t>Nationwide</w:t>
      </w:r>
      <w:r w:rsidR="00290FB9" w:rsidRPr="00290FB9">
        <w:rPr>
          <w:rFonts w:cstheme="minorHAnsi"/>
          <w:b/>
          <w:color w:val="FF0000"/>
        </w:rPr>
        <w:t xml:space="preserve"> </w:t>
      </w:r>
    </w:p>
    <w:p w14:paraId="5D9AE0E1" w14:textId="19B20044" w:rsidR="00312882" w:rsidRPr="00A538AF" w:rsidRDefault="00312882">
      <w:pPr>
        <w:rPr>
          <w:rFonts w:cstheme="minorHAnsi"/>
        </w:rPr>
      </w:pPr>
    </w:p>
    <w:p w14:paraId="3AC8EE5A" w14:textId="77777777" w:rsidR="00602FDC" w:rsidRPr="00C43B6C" w:rsidRDefault="00EA4C80" w:rsidP="00EA4C80">
      <w:r w:rsidRPr="00BE72DC">
        <w:t xml:space="preserve">Like most of the nation’s leading chronic diseases, cancer affects the livelihood of millions of Americans throughout communities from the smallest rural towns to the largest metropolitan areas or cities. </w:t>
      </w:r>
      <w:r w:rsidR="00602FDC" w:rsidRPr="00C43B6C">
        <w:t xml:space="preserve">According to the American Cancer Society’s most recent statistics, approximately 5,250 Americans are diagnosed with cancer (new cases) and approximately 1,670 Americans lose their lives to cancer each day. </w:t>
      </w:r>
    </w:p>
    <w:p w14:paraId="6D993952" w14:textId="4DE17056" w:rsidR="00602FDC" w:rsidRPr="00C43B6C" w:rsidRDefault="00602FDC" w:rsidP="00EA4C80"/>
    <w:p w14:paraId="2FC89E3B" w14:textId="77777777" w:rsidR="00467FFB" w:rsidRPr="00C43B6C" w:rsidRDefault="00467FFB" w:rsidP="00467FFB">
      <w:pPr>
        <w:spacing w:after="160" w:line="259" w:lineRule="auto"/>
        <w:rPr>
          <w:rFonts w:cstheme="minorHAnsi"/>
        </w:rPr>
      </w:pPr>
      <w:r w:rsidRPr="004D7488">
        <w:t xml:space="preserve">The relaunch of the 2022 Cancer Moonshot national initiative is timely. </w:t>
      </w:r>
      <w:r w:rsidRPr="004D7488">
        <w:rPr>
          <w:rFonts w:cstheme="minorHAnsi"/>
        </w:rPr>
        <w:t xml:space="preserve">Key findings from the 2022 American Association for Cancer Research (AACR) report revealed that nearly 10 million Americans missed their cancer screenings in a 7-month period. This report also noted a projected increase in patients diagnosed with a late-stage metastatic or inoperable cancer as well as cancer treatment delays. </w:t>
      </w:r>
    </w:p>
    <w:p w14:paraId="654C1D34" w14:textId="2A270F9C" w:rsidR="00EA4C80" w:rsidRPr="00C43B6C" w:rsidRDefault="00467FFB" w:rsidP="00EA4C80">
      <w:r w:rsidRPr="00C43B6C">
        <w:t>H</w:t>
      </w:r>
      <w:r w:rsidR="00602FDC" w:rsidRPr="00C43B6C">
        <w:t>owever, e</w:t>
      </w:r>
      <w:r w:rsidR="00EA4C80" w:rsidRPr="00BE72DC">
        <w:t>very day is an opportunity to fundamentally change the trajectory of cancer in every state</w:t>
      </w:r>
      <w:r w:rsidR="00EA4C80" w:rsidRPr="00C43B6C">
        <w:t xml:space="preserve"> and region. Every day that a family member, loved one, neighbor</w:t>
      </w:r>
      <w:r w:rsidR="00EA4C80" w:rsidRPr="00C43B6C">
        <w:t>, friend</w:t>
      </w:r>
      <w:r w:rsidR="00EA4C80" w:rsidRPr="00C43B6C">
        <w:t xml:space="preserve"> or employee is diagnosed with </w:t>
      </w:r>
      <w:r w:rsidR="00EA4C80" w:rsidRPr="00C43B6C">
        <w:t xml:space="preserve">cancer (including </w:t>
      </w:r>
      <w:r w:rsidR="00EA4C80" w:rsidRPr="00C43B6C">
        <w:t>breast</w:t>
      </w:r>
      <w:r w:rsidR="00EA4C80" w:rsidRPr="00C43B6C">
        <w:t xml:space="preserve"> cancer, </w:t>
      </w:r>
      <w:r w:rsidR="00EA4C80" w:rsidRPr="00C43B6C">
        <w:t xml:space="preserve">colorectal cancer, </w:t>
      </w:r>
      <w:r w:rsidR="00602FDC" w:rsidRPr="00C43B6C">
        <w:t xml:space="preserve">lung cancer, prostate cancer, pancreatic cancer), </w:t>
      </w:r>
      <w:r w:rsidR="00EA4C80" w:rsidRPr="00C43B6C">
        <w:t>possibilities exist to fundamentally change the trajectory of cancer by “closing gaps” in survivorship,</w:t>
      </w:r>
      <w:r w:rsidR="00EA4C80" w:rsidRPr="00C43B6C">
        <w:rPr>
          <w:color w:val="FF0000"/>
        </w:rPr>
        <w:t xml:space="preserve"> </w:t>
      </w:r>
      <w:r w:rsidR="00EA4C80" w:rsidRPr="00C43B6C">
        <w:t xml:space="preserve">even if means extending life for one more year or sustaining their quality of life for a few years longer than anticipated. </w:t>
      </w:r>
    </w:p>
    <w:p w14:paraId="63B85C3A" w14:textId="05C3927D" w:rsidR="00EA4C80" w:rsidRPr="00C43B6C" w:rsidRDefault="00EA4C80" w:rsidP="00EA4C80">
      <w:pPr>
        <w:rPr>
          <w:color w:val="FF0000"/>
        </w:rPr>
      </w:pPr>
    </w:p>
    <w:p w14:paraId="51862DD4" w14:textId="5E338729" w:rsidR="00EA4C80" w:rsidRDefault="00467FFB" w:rsidP="00467FFB">
      <w:pPr>
        <w:rPr>
          <w:rFonts w:cstheme="minorHAnsi"/>
        </w:rPr>
      </w:pPr>
      <w:r w:rsidRPr="00C43B6C">
        <w:rPr>
          <w:rStyle w:val="cf01"/>
          <w:rFonts w:asciiTheme="minorHAnsi" w:hAnsiTheme="minorHAnsi" w:cstheme="minorHAnsi"/>
          <w:sz w:val="24"/>
          <w:szCs w:val="24"/>
        </w:rPr>
        <w:t xml:space="preserve">COVID-19 has affected </w:t>
      </w:r>
      <w:r w:rsidRPr="00C43B6C">
        <w:rPr>
          <w:rStyle w:val="cf01"/>
          <w:rFonts w:asciiTheme="minorHAnsi" w:hAnsiTheme="minorHAnsi" w:cstheme="minorHAnsi"/>
          <w:sz w:val="24"/>
          <w:szCs w:val="24"/>
        </w:rPr>
        <w:t xml:space="preserve">populations across the lifespan </w:t>
      </w:r>
      <w:r w:rsidRPr="00C43B6C">
        <w:rPr>
          <w:rStyle w:val="cf01"/>
          <w:rFonts w:asciiTheme="minorHAnsi" w:hAnsiTheme="minorHAnsi" w:cstheme="minorHAnsi"/>
          <w:sz w:val="24"/>
          <w:szCs w:val="24"/>
        </w:rPr>
        <w:t>greatly nationwide.</w:t>
      </w:r>
      <w:r w:rsidRPr="00C43B6C">
        <w:rPr>
          <w:rStyle w:val="cf01"/>
          <w:rFonts w:asciiTheme="minorHAnsi" w:hAnsiTheme="minorHAnsi" w:cstheme="minorHAnsi"/>
          <w:sz w:val="24"/>
          <w:szCs w:val="24"/>
        </w:rPr>
        <w:t xml:space="preserve"> </w:t>
      </w:r>
      <w:r w:rsidR="00EA4C80" w:rsidRPr="004D7488">
        <w:rPr>
          <w:rFonts w:cstheme="minorHAnsi"/>
        </w:rPr>
        <w:t>And as noted in the Journal of the American Medical Association (JAMA) article “</w:t>
      </w:r>
      <w:r w:rsidR="00EA4C80" w:rsidRPr="004D7488">
        <w:rPr>
          <w:rFonts w:cstheme="minorHAnsi"/>
          <w:color w:val="333333"/>
        </w:rPr>
        <w:t xml:space="preserve">The COVID-19 pandemic has shone a spotlight on health disparities and created an opportunity to address the causes underlying these inequities. </w:t>
      </w:r>
      <w:r w:rsidR="00EA4C80" w:rsidRPr="004D7488">
        <w:rPr>
          <w:rFonts w:cstheme="minorHAnsi"/>
        </w:rPr>
        <w:t xml:space="preserve">The COVID-19 pandemic presents a window of opportunity for achieving greater equity in the healthcare of all vulnerable populations.” </w:t>
      </w:r>
    </w:p>
    <w:p w14:paraId="6C844566" w14:textId="77777777" w:rsidR="006F3AB7" w:rsidRDefault="00C43B6C" w:rsidP="00C43B6C">
      <w:pPr>
        <w:pStyle w:val="pf0"/>
        <w:rPr>
          <w:rStyle w:val="cf01"/>
          <w:rFonts w:asciiTheme="minorHAnsi" w:hAnsiTheme="minorHAnsi" w:cstheme="minorHAnsi"/>
          <w:sz w:val="24"/>
          <w:szCs w:val="24"/>
        </w:rPr>
      </w:pPr>
      <w:r w:rsidRPr="001C334A">
        <w:rPr>
          <w:rStyle w:val="cf01"/>
          <w:rFonts w:asciiTheme="minorHAnsi" w:hAnsiTheme="minorHAnsi" w:cstheme="minorHAnsi"/>
          <w:sz w:val="24"/>
          <w:szCs w:val="24"/>
        </w:rPr>
        <w:t>Vulnerable populations</w:t>
      </w:r>
      <w:r w:rsidR="00405F2A">
        <w:rPr>
          <w:rStyle w:val="cf01"/>
          <w:rFonts w:asciiTheme="minorHAnsi" w:hAnsiTheme="minorHAnsi" w:cstheme="minorHAnsi"/>
          <w:sz w:val="24"/>
          <w:szCs w:val="24"/>
        </w:rPr>
        <w:t xml:space="preserve"> </w:t>
      </w:r>
      <w:r>
        <w:rPr>
          <w:rStyle w:val="cf01"/>
          <w:rFonts w:asciiTheme="minorHAnsi" w:hAnsiTheme="minorHAnsi" w:cstheme="minorHAnsi"/>
          <w:sz w:val="24"/>
          <w:szCs w:val="24"/>
        </w:rPr>
        <w:t>including low-income populations, populations with lower levels of educational attainment, uninsured populations, populations with lower level</w:t>
      </w:r>
      <w:r w:rsidR="00405F2A">
        <w:rPr>
          <w:rStyle w:val="cf01"/>
          <w:rFonts w:asciiTheme="minorHAnsi" w:hAnsiTheme="minorHAnsi" w:cstheme="minorHAnsi"/>
          <w:sz w:val="24"/>
          <w:szCs w:val="24"/>
        </w:rPr>
        <w:t>s</w:t>
      </w:r>
      <w:r>
        <w:rPr>
          <w:rStyle w:val="cf01"/>
          <w:rFonts w:asciiTheme="minorHAnsi" w:hAnsiTheme="minorHAnsi" w:cstheme="minorHAnsi"/>
          <w:sz w:val="24"/>
          <w:szCs w:val="24"/>
        </w:rPr>
        <w:t xml:space="preserve"> of health literacy, as well as populations residing in medically underserved areas (MUAs)-rural and metropolitan and other socioeconomically disadvantaged communities, communities with limited broadband access)</w:t>
      </w:r>
      <w:r w:rsidRPr="001C334A">
        <w:rPr>
          <w:rStyle w:val="cf01"/>
          <w:rFonts w:asciiTheme="minorHAnsi" w:hAnsiTheme="minorHAnsi" w:cstheme="minorHAnsi"/>
          <w:sz w:val="24"/>
          <w:szCs w:val="24"/>
        </w:rPr>
        <w:t xml:space="preserve"> may not know </w:t>
      </w:r>
      <w:r>
        <w:rPr>
          <w:rStyle w:val="cf01"/>
          <w:rFonts w:asciiTheme="minorHAnsi" w:hAnsiTheme="minorHAnsi" w:cstheme="minorHAnsi"/>
          <w:sz w:val="24"/>
          <w:szCs w:val="24"/>
        </w:rPr>
        <w:t xml:space="preserve">how to identify credible scientific, medical or health sources. And </w:t>
      </w:r>
      <w:r w:rsidR="00405F2A">
        <w:rPr>
          <w:rStyle w:val="cf01"/>
          <w:rFonts w:asciiTheme="minorHAnsi" w:hAnsiTheme="minorHAnsi" w:cstheme="minorHAnsi"/>
          <w:sz w:val="24"/>
          <w:szCs w:val="24"/>
        </w:rPr>
        <w:t xml:space="preserve">even </w:t>
      </w:r>
      <w:r>
        <w:rPr>
          <w:rStyle w:val="cf01"/>
          <w:rFonts w:asciiTheme="minorHAnsi" w:hAnsiTheme="minorHAnsi" w:cstheme="minorHAnsi"/>
          <w:sz w:val="24"/>
          <w:szCs w:val="24"/>
        </w:rPr>
        <w:t xml:space="preserve">prior to the onset of the COVID-19 pandemic, populations with no regular or routine </w:t>
      </w:r>
      <w:r w:rsidR="00405F2A">
        <w:rPr>
          <w:rStyle w:val="cf01"/>
          <w:rFonts w:asciiTheme="minorHAnsi" w:hAnsiTheme="minorHAnsi" w:cstheme="minorHAnsi"/>
          <w:sz w:val="24"/>
          <w:szCs w:val="24"/>
        </w:rPr>
        <w:t xml:space="preserve">source </w:t>
      </w:r>
      <w:r>
        <w:rPr>
          <w:rStyle w:val="cf01"/>
          <w:rFonts w:asciiTheme="minorHAnsi" w:hAnsiTheme="minorHAnsi" w:cstheme="minorHAnsi"/>
          <w:sz w:val="24"/>
          <w:szCs w:val="24"/>
        </w:rPr>
        <w:t>medical care were also</w:t>
      </w:r>
      <w:r w:rsidR="006F3AB7">
        <w:rPr>
          <w:rStyle w:val="cf01"/>
          <w:rFonts w:asciiTheme="minorHAnsi" w:hAnsiTheme="minorHAnsi" w:cstheme="minorHAnsi"/>
          <w:sz w:val="24"/>
          <w:szCs w:val="24"/>
        </w:rPr>
        <w:t xml:space="preserve"> and are still</w:t>
      </w:r>
      <w:r>
        <w:rPr>
          <w:rStyle w:val="cf01"/>
          <w:rFonts w:asciiTheme="minorHAnsi" w:hAnsiTheme="minorHAnsi" w:cstheme="minorHAnsi"/>
          <w:sz w:val="24"/>
          <w:szCs w:val="24"/>
        </w:rPr>
        <w:t xml:space="preserve"> considered vulnerable populations. </w:t>
      </w:r>
    </w:p>
    <w:p w14:paraId="212886DC" w14:textId="1C137F0D" w:rsidR="00D06F70" w:rsidRDefault="00386412" w:rsidP="00D06F70">
      <w:pPr>
        <w:pStyle w:val="pf0"/>
        <w:rPr>
          <w:rStyle w:val="cf01"/>
          <w:rFonts w:asciiTheme="minorHAnsi" w:hAnsiTheme="minorHAnsi" w:cstheme="minorHAnsi"/>
          <w:sz w:val="24"/>
          <w:szCs w:val="24"/>
        </w:rPr>
      </w:pPr>
      <w:r w:rsidRPr="00C43B6C">
        <w:rPr>
          <w:rStyle w:val="cf01"/>
          <w:rFonts w:asciiTheme="minorHAnsi" w:hAnsiTheme="minorHAnsi" w:cstheme="minorHAnsi"/>
          <w:sz w:val="24"/>
          <w:szCs w:val="24"/>
        </w:rPr>
        <w:t xml:space="preserve">Some of the nation’s leading and costly chronic diseases include: heart disease, cancer, diabetes, </w:t>
      </w:r>
      <w:r w:rsidR="00C43B6C" w:rsidRPr="00C43B6C">
        <w:rPr>
          <w:rStyle w:val="cf01"/>
          <w:rFonts w:asciiTheme="minorHAnsi" w:hAnsiTheme="minorHAnsi" w:cstheme="minorHAnsi"/>
          <w:sz w:val="24"/>
          <w:szCs w:val="24"/>
        </w:rPr>
        <w:t>stroke,</w:t>
      </w:r>
      <w:r w:rsidRPr="00C43B6C">
        <w:rPr>
          <w:rStyle w:val="cf01"/>
          <w:rFonts w:asciiTheme="minorHAnsi" w:hAnsiTheme="minorHAnsi" w:cstheme="minorHAnsi"/>
          <w:sz w:val="24"/>
          <w:szCs w:val="24"/>
        </w:rPr>
        <w:t xml:space="preserve"> </w:t>
      </w:r>
      <w:r w:rsidRPr="00C43B6C">
        <w:rPr>
          <w:rStyle w:val="cf01"/>
          <w:rFonts w:asciiTheme="minorHAnsi" w:hAnsiTheme="minorHAnsi" w:cstheme="minorHAnsi"/>
          <w:sz w:val="24"/>
          <w:szCs w:val="24"/>
        </w:rPr>
        <w:t>and other conditions exacerbated by tobacco use such as: chronic obstructive pulmonary disease (COPD).</w:t>
      </w:r>
      <w:r w:rsidRPr="00C43B6C">
        <w:rPr>
          <w:rStyle w:val="cf01"/>
          <w:rFonts w:asciiTheme="minorHAnsi" w:hAnsiTheme="minorHAnsi" w:cstheme="minorHAnsi"/>
          <w:sz w:val="24"/>
          <w:szCs w:val="24"/>
          <w:vertAlign w:val="superscript"/>
        </w:rPr>
        <w:t>2</w:t>
      </w:r>
      <w:r w:rsidRPr="00C43B6C">
        <w:rPr>
          <w:rStyle w:val="cf01"/>
          <w:rFonts w:asciiTheme="minorHAnsi" w:hAnsiTheme="minorHAnsi" w:cstheme="minorHAnsi"/>
          <w:sz w:val="24"/>
          <w:szCs w:val="24"/>
        </w:rPr>
        <w:t xml:space="preserve"> And increasing COVID-19 vaccination efforts</w:t>
      </w:r>
      <w:r w:rsidR="00C43B6C" w:rsidRPr="00C43B6C">
        <w:rPr>
          <w:rStyle w:val="cf01"/>
          <w:rFonts w:asciiTheme="minorHAnsi" w:hAnsiTheme="minorHAnsi" w:cstheme="minorHAnsi"/>
          <w:sz w:val="24"/>
          <w:szCs w:val="24"/>
        </w:rPr>
        <w:t xml:space="preserve"> (including a COVID-19 booster)</w:t>
      </w:r>
      <w:r w:rsidRPr="00C43B6C">
        <w:rPr>
          <w:rStyle w:val="cf01"/>
          <w:rFonts w:asciiTheme="minorHAnsi" w:hAnsiTheme="minorHAnsi" w:cstheme="minorHAnsi"/>
          <w:sz w:val="24"/>
          <w:szCs w:val="24"/>
        </w:rPr>
        <w:t xml:space="preserve"> especially among adults diagnosed with these chronic diseases and associated risk factors also, would assist with improving health outcomes associated with health equity (including cancer health equity). </w:t>
      </w:r>
      <w:r w:rsidR="00D06F70">
        <w:rPr>
          <w:rStyle w:val="cf01"/>
          <w:rFonts w:asciiTheme="minorHAnsi" w:hAnsiTheme="minorHAnsi" w:cstheme="minorHAnsi"/>
          <w:sz w:val="24"/>
          <w:szCs w:val="24"/>
        </w:rPr>
        <w:t>COVID-19 v</w:t>
      </w:r>
      <w:r w:rsidR="00D06F70" w:rsidRPr="001C334A">
        <w:rPr>
          <w:rStyle w:val="cf01"/>
          <w:rFonts w:asciiTheme="minorHAnsi" w:hAnsiTheme="minorHAnsi" w:cstheme="minorHAnsi"/>
          <w:sz w:val="24"/>
          <w:szCs w:val="24"/>
        </w:rPr>
        <w:t>accine</w:t>
      </w:r>
      <w:r w:rsidR="00D06F70">
        <w:rPr>
          <w:rStyle w:val="cf01"/>
          <w:rFonts w:asciiTheme="minorHAnsi" w:hAnsiTheme="minorHAnsi" w:cstheme="minorHAnsi"/>
          <w:sz w:val="24"/>
          <w:szCs w:val="24"/>
        </w:rPr>
        <w:t>s</w:t>
      </w:r>
      <w:r w:rsidR="00D06F70" w:rsidRPr="001C334A">
        <w:rPr>
          <w:rStyle w:val="cf01"/>
          <w:rFonts w:asciiTheme="minorHAnsi" w:hAnsiTheme="minorHAnsi" w:cstheme="minorHAnsi"/>
          <w:sz w:val="24"/>
          <w:szCs w:val="24"/>
        </w:rPr>
        <w:t xml:space="preserve"> </w:t>
      </w:r>
      <w:r w:rsidR="00D06F70">
        <w:rPr>
          <w:rStyle w:val="cf01"/>
          <w:rFonts w:asciiTheme="minorHAnsi" w:hAnsiTheme="minorHAnsi" w:cstheme="minorHAnsi"/>
          <w:sz w:val="24"/>
          <w:szCs w:val="24"/>
        </w:rPr>
        <w:t>save lives and reduce the onset of severe complications</w:t>
      </w:r>
      <w:r w:rsidR="00D06F70">
        <w:rPr>
          <w:rStyle w:val="cf01"/>
          <w:rFonts w:asciiTheme="minorHAnsi" w:hAnsiTheme="minorHAnsi" w:cstheme="minorHAnsi"/>
          <w:sz w:val="24"/>
          <w:szCs w:val="24"/>
        </w:rPr>
        <w:t xml:space="preserve">. And as a nation aiming to build bridges across sectors to improve health equity; </w:t>
      </w:r>
      <w:r w:rsidR="00D06F70">
        <w:rPr>
          <w:rStyle w:val="cf01"/>
          <w:rFonts w:asciiTheme="minorHAnsi" w:hAnsiTheme="minorHAnsi" w:cstheme="minorHAnsi"/>
          <w:sz w:val="24"/>
          <w:szCs w:val="24"/>
        </w:rPr>
        <w:lastRenderedPageBreak/>
        <w:t>it remains important to continue identifying and resolving underlying factors of significant health disparities such as: social determinants of health (</w:t>
      </w:r>
      <w:r w:rsidR="00D06F70" w:rsidRPr="001C334A">
        <w:rPr>
          <w:rStyle w:val="cf01"/>
          <w:rFonts w:asciiTheme="minorHAnsi" w:hAnsiTheme="minorHAnsi" w:cstheme="minorHAnsi"/>
          <w:sz w:val="24"/>
          <w:szCs w:val="24"/>
        </w:rPr>
        <w:t>S</w:t>
      </w:r>
      <w:r w:rsidR="00D06F70">
        <w:rPr>
          <w:rStyle w:val="cf01"/>
          <w:rFonts w:asciiTheme="minorHAnsi" w:hAnsiTheme="minorHAnsi" w:cstheme="minorHAnsi"/>
          <w:sz w:val="24"/>
          <w:szCs w:val="24"/>
        </w:rPr>
        <w:t xml:space="preserve">DOH) </w:t>
      </w:r>
      <w:r w:rsidR="00D06F70">
        <w:rPr>
          <w:rStyle w:val="cf01"/>
          <w:rFonts w:asciiTheme="minorHAnsi" w:hAnsiTheme="minorHAnsi" w:cstheme="minorHAnsi"/>
          <w:sz w:val="24"/>
          <w:szCs w:val="24"/>
        </w:rPr>
        <w:t>while increasing</w:t>
      </w:r>
      <w:r w:rsidR="00D06F70">
        <w:rPr>
          <w:rStyle w:val="cf01"/>
          <w:rFonts w:asciiTheme="minorHAnsi" w:hAnsiTheme="minorHAnsi" w:cstheme="minorHAnsi"/>
          <w:sz w:val="24"/>
          <w:szCs w:val="24"/>
        </w:rPr>
        <w:t xml:space="preserve"> COVID-19</w:t>
      </w:r>
      <w:r w:rsidR="00D06F70" w:rsidRPr="001C334A">
        <w:rPr>
          <w:rStyle w:val="cf01"/>
          <w:rFonts w:asciiTheme="minorHAnsi" w:hAnsiTheme="minorHAnsi" w:cstheme="minorHAnsi"/>
          <w:sz w:val="24"/>
          <w:szCs w:val="24"/>
        </w:rPr>
        <w:t xml:space="preserve"> </w:t>
      </w:r>
      <w:r w:rsidR="00D06F70">
        <w:rPr>
          <w:rStyle w:val="cf01"/>
          <w:rFonts w:asciiTheme="minorHAnsi" w:hAnsiTheme="minorHAnsi" w:cstheme="minorHAnsi"/>
          <w:sz w:val="24"/>
          <w:szCs w:val="24"/>
        </w:rPr>
        <w:t xml:space="preserve">vaccination and booster </w:t>
      </w:r>
      <w:r w:rsidR="00D06F70" w:rsidRPr="001C334A">
        <w:rPr>
          <w:rStyle w:val="cf01"/>
          <w:rFonts w:asciiTheme="minorHAnsi" w:hAnsiTheme="minorHAnsi" w:cstheme="minorHAnsi"/>
          <w:sz w:val="24"/>
          <w:szCs w:val="24"/>
        </w:rPr>
        <w:t>uptake</w:t>
      </w:r>
      <w:r w:rsidR="00D06F70">
        <w:rPr>
          <w:rStyle w:val="cf01"/>
          <w:rFonts w:asciiTheme="minorHAnsi" w:hAnsiTheme="minorHAnsi" w:cstheme="minorHAnsi"/>
          <w:sz w:val="24"/>
          <w:szCs w:val="24"/>
        </w:rPr>
        <w:t xml:space="preserve">, especially among low-income populations and other vulnerable populations. </w:t>
      </w:r>
    </w:p>
    <w:p w14:paraId="580EE3E2" w14:textId="2ACA781F" w:rsidR="00386412" w:rsidRPr="00C43B6C" w:rsidRDefault="00386412" w:rsidP="00386412">
      <w:pPr>
        <w:pStyle w:val="pf0"/>
        <w:rPr>
          <w:rFonts w:asciiTheme="minorHAnsi" w:hAnsiTheme="minorHAnsi" w:cstheme="minorHAnsi"/>
          <w:color w:val="FF0000"/>
        </w:rPr>
      </w:pPr>
    </w:p>
    <w:p w14:paraId="74F437D5" w14:textId="77777777" w:rsidR="00386412" w:rsidRPr="004D7488" w:rsidRDefault="00386412" w:rsidP="00467FFB">
      <w:pPr>
        <w:rPr>
          <w:rFonts w:cstheme="minorHAnsi"/>
          <w:sz w:val="22"/>
          <w:szCs w:val="22"/>
        </w:rPr>
      </w:pPr>
    </w:p>
    <w:p w14:paraId="23990592" w14:textId="7EB19D3D" w:rsidR="00EA4C80" w:rsidRDefault="00EA4C80" w:rsidP="00EA4C80">
      <w:pPr>
        <w:pStyle w:val="pf0"/>
        <w:rPr>
          <w:rStyle w:val="cf01"/>
          <w:rFonts w:asciiTheme="minorHAnsi" w:hAnsiTheme="minorHAnsi" w:cstheme="minorHAnsi"/>
          <w:sz w:val="24"/>
          <w:szCs w:val="24"/>
        </w:rPr>
      </w:pPr>
      <w:r w:rsidRPr="00467FFB">
        <w:rPr>
          <w:rStyle w:val="cf01"/>
          <w:rFonts w:asciiTheme="minorHAnsi" w:hAnsiTheme="minorHAnsi" w:cstheme="minorHAnsi"/>
          <w:color w:val="FF0000"/>
          <w:sz w:val="24"/>
          <w:szCs w:val="24"/>
        </w:rPr>
        <w:t xml:space="preserve">Local factors influence health disparities, including vaccination rates. </w:t>
      </w:r>
      <w:r w:rsidRPr="001C334A">
        <w:rPr>
          <w:rStyle w:val="cf01"/>
          <w:rFonts w:asciiTheme="minorHAnsi" w:hAnsiTheme="minorHAnsi" w:cstheme="minorHAnsi"/>
          <w:sz w:val="24"/>
          <w:szCs w:val="24"/>
        </w:rPr>
        <w:t>Vulnerable populations</w:t>
      </w:r>
      <w:r>
        <w:rPr>
          <w:rStyle w:val="cf01"/>
          <w:rFonts w:asciiTheme="minorHAnsi" w:hAnsiTheme="minorHAnsi" w:cstheme="minorHAnsi"/>
          <w:sz w:val="24"/>
          <w:szCs w:val="24"/>
        </w:rPr>
        <w:t xml:space="preserve"> (including low-income populations, populations with lower levels of educational attainment, uninsured populations, populations with lower level of health literacy, as well as populations residing in medically underserved areas (MUAs)-rural and metropolitan and other socioeconomically disadvantaged communities, communities with limited broadband access)</w:t>
      </w:r>
      <w:r w:rsidRPr="001C334A">
        <w:rPr>
          <w:rStyle w:val="cf01"/>
          <w:rFonts w:asciiTheme="minorHAnsi" w:hAnsiTheme="minorHAnsi" w:cstheme="minorHAnsi"/>
          <w:sz w:val="24"/>
          <w:szCs w:val="24"/>
        </w:rPr>
        <w:t xml:space="preserve"> may not know </w:t>
      </w:r>
      <w:r>
        <w:rPr>
          <w:rStyle w:val="cf01"/>
          <w:rFonts w:asciiTheme="minorHAnsi" w:hAnsiTheme="minorHAnsi" w:cstheme="minorHAnsi"/>
          <w:sz w:val="24"/>
          <w:szCs w:val="24"/>
        </w:rPr>
        <w:t>how to identify credible scientific, medical or health sources. And prior to the onset of the COVID-19 pandemic, populations with no source of regular or routine medical care were also considered vulnerable populations. COVID-19 v</w:t>
      </w:r>
      <w:r w:rsidRPr="001C334A">
        <w:rPr>
          <w:rStyle w:val="cf01"/>
          <w:rFonts w:asciiTheme="minorHAnsi" w:hAnsiTheme="minorHAnsi" w:cstheme="minorHAnsi"/>
          <w:sz w:val="24"/>
          <w:szCs w:val="24"/>
        </w:rPr>
        <w:t>accine</w:t>
      </w:r>
      <w:r>
        <w:rPr>
          <w:rStyle w:val="cf01"/>
          <w:rFonts w:asciiTheme="minorHAnsi" w:hAnsiTheme="minorHAnsi" w:cstheme="minorHAnsi"/>
          <w:sz w:val="24"/>
          <w:szCs w:val="24"/>
        </w:rPr>
        <w:t>s</w:t>
      </w:r>
      <w:r w:rsidRPr="001C334A">
        <w:rPr>
          <w:rStyle w:val="cf01"/>
          <w:rFonts w:asciiTheme="minorHAnsi" w:hAnsiTheme="minorHAnsi" w:cstheme="minorHAnsi"/>
          <w:sz w:val="24"/>
          <w:szCs w:val="24"/>
        </w:rPr>
        <w:t xml:space="preserve"> are lifesavers, but </w:t>
      </w:r>
      <w:r>
        <w:rPr>
          <w:rStyle w:val="cf01"/>
          <w:rFonts w:asciiTheme="minorHAnsi" w:hAnsiTheme="minorHAnsi" w:cstheme="minorHAnsi"/>
          <w:sz w:val="24"/>
          <w:szCs w:val="24"/>
        </w:rPr>
        <w:t>as a nation and across sectors; we</w:t>
      </w:r>
      <w:r w:rsidRPr="001C334A">
        <w:rPr>
          <w:rStyle w:val="cf01"/>
          <w:rFonts w:asciiTheme="minorHAnsi" w:hAnsiTheme="minorHAnsi" w:cstheme="minorHAnsi"/>
          <w:sz w:val="24"/>
          <w:szCs w:val="24"/>
        </w:rPr>
        <w:t xml:space="preserve"> must </w:t>
      </w:r>
      <w:r>
        <w:rPr>
          <w:rStyle w:val="cf01"/>
          <w:rFonts w:asciiTheme="minorHAnsi" w:hAnsiTheme="minorHAnsi" w:cstheme="minorHAnsi"/>
          <w:sz w:val="24"/>
          <w:szCs w:val="24"/>
        </w:rPr>
        <w:t>continue to resolve</w:t>
      </w:r>
      <w:r w:rsidRPr="001C334A">
        <w:rPr>
          <w:rStyle w:val="cf01"/>
          <w:rFonts w:asciiTheme="minorHAnsi" w:hAnsiTheme="minorHAnsi" w:cstheme="minorHAnsi"/>
          <w:sz w:val="24"/>
          <w:szCs w:val="24"/>
        </w:rPr>
        <w:t xml:space="preserve"> </w:t>
      </w:r>
      <w:r>
        <w:rPr>
          <w:rStyle w:val="cf01"/>
          <w:rFonts w:asciiTheme="minorHAnsi" w:hAnsiTheme="minorHAnsi" w:cstheme="minorHAnsi"/>
          <w:sz w:val="24"/>
          <w:szCs w:val="24"/>
        </w:rPr>
        <w:t>underlying factors of significant health disparities such as: social determinants of health (</w:t>
      </w:r>
      <w:r w:rsidRPr="001C334A">
        <w:rPr>
          <w:rStyle w:val="cf01"/>
          <w:rFonts w:asciiTheme="minorHAnsi" w:hAnsiTheme="minorHAnsi" w:cstheme="minorHAnsi"/>
          <w:sz w:val="24"/>
          <w:szCs w:val="24"/>
        </w:rPr>
        <w:t>S</w:t>
      </w:r>
      <w:r>
        <w:rPr>
          <w:rStyle w:val="cf01"/>
          <w:rFonts w:asciiTheme="minorHAnsi" w:hAnsiTheme="minorHAnsi" w:cstheme="minorHAnsi"/>
          <w:sz w:val="24"/>
          <w:szCs w:val="24"/>
        </w:rPr>
        <w:t>DOH) to increase COVID-19</w:t>
      </w:r>
      <w:r w:rsidRPr="001C334A">
        <w:rPr>
          <w:rStyle w:val="cf01"/>
          <w:rFonts w:asciiTheme="minorHAnsi" w:hAnsiTheme="minorHAnsi" w:cstheme="minorHAnsi"/>
          <w:sz w:val="24"/>
          <w:szCs w:val="24"/>
        </w:rPr>
        <w:t xml:space="preserve"> </w:t>
      </w:r>
      <w:r>
        <w:rPr>
          <w:rStyle w:val="cf01"/>
          <w:rFonts w:asciiTheme="minorHAnsi" w:hAnsiTheme="minorHAnsi" w:cstheme="minorHAnsi"/>
          <w:sz w:val="24"/>
          <w:szCs w:val="24"/>
        </w:rPr>
        <w:t xml:space="preserve">vaccination and booster </w:t>
      </w:r>
      <w:r w:rsidRPr="001C334A">
        <w:rPr>
          <w:rStyle w:val="cf01"/>
          <w:rFonts w:asciiTheme="minorHAnsi" w:hAnsiTheme="minorHAnsi" w:cstheme="minorHAnsi"/>
          <w:sz w:val="24"/>
          <w:szCs w:val="24"/>
        </w:rPr>
        <w:t xml:space="preserve">uptake. </w:t>
      </w:r>
    </w:p>
    <w:p w14:paraId="0C6D57BF" w14:textId="1B06EA91" w:rsidR="00E7707D" w:rsidRDefault="00312882">
      <w:pPr>
        <w:rPr>
          <w:rFonts w:cstheme="minorHAnsi"/>
        </w:rPr>
      </w:pPr>
      <w:r w:rsidRPr="00290FB9">
        <w:rPr>
          <w:rFonts w:cstheme="minorHAnsi"/>
        </w:rPr>
        <w:t xml:space="preserve">In the United States, </w:t>
      </w:r>
      <w:r w:rsidR="00486597" w:rsidRPr="00290FB9">
        <w:rPr>
          <w:rFonts w:cstheme="minorHAnsi"/>
        </w:rPr>
        <w:t>millions of lives have been affected by the COVID-19 pandemic.</w:t>
      </w:r>
      <w:r w:rsidR="00783ADF">
        <w:rPr>
          <w:rStyle w:val="FootnoteReference"/>
          <w:rFonts w:cstheme="minorHAnsi"/>
        </w:rPr>
        <w:footnoteReference w:id="1"/>
      </w:r>
      <w:r w:rsidR="00486597" w:rsidRPr="00290FB9">
        <w:rPr>
          <w:rFonts w:cstheme="minorHAnsi"/>
        </w:rPr>
        <w:t xml:space="preserve"> For example, in our state</w:t>
      </w:r>
      <w:r w:rsidR="00493E8A">
        <w:rPr>
          <w:rFonts w:cstheme="minorHAnsi"/>
        </w:rPr>
        <w:t xml:space="preserve">, </w:t>
      </w:r>
      <w:r w:rsidR="00486597" w:rsidRPr="00290FB9">
        <w:rPr>
          <w:rFonts w:cstheme="minorHAnsi"/>
        </w:rPr>
        <w:t xml:space="preserve">approximately </w:t>
      </w:r>
      <w:r w:rsidR="00486597" w:rsidRPr="00290FB9">
        <w:rPr>
          <w:rFonts w:cstheme="minorHAnsi"/>
          <w:color w:val="FF0000"/>
        </w:rPr>
        <w:t>[</w:t>
      </w:r>
      <w:r w:rsidR="00493E8A">
        <w:rPr>
          <w:rFonts w:cstheme="minorHAnsi"/>
          <w:color w:val="FF0000"/>
        </w:rPr>
        <w:t>x ppl have been diagnosed, hospitalized, died from Covid-19 (</w:t>
      </w:r>
      <w:r w:rsidR="00486597" w:rsidRPr="00290FB9">
        <w:rPr>
          <w:rFonts w:cstheme="minorHAnsi"/>
          <w:color w:val="FF0000"/>
        </w:rPr>
        <w:t>insert state</w:t>
      </w:r>
      <w:r w:rsidR="00783ADF">
        <w:rPr>
          <w:rFonts w:cstheme="minorHAnsi"/>
          <w:color w:val="FF0000"/>
        </w:rPr>
        <w:t>-</w:t>
      </w:r>
      <w:r w:rsidR="00486597" w:rsidRPr="00290FB9">
        <w:rPr>
          <w:rFonts w:cstheme="minorHAnsi"/>
          <w:color w:val="FF0000"/>
        </w:rPr>
        <w:t xml:space="preserve">specific COVID-19 incidence, hospitalization, </w:t>
      </w:r>
      <w:r w:rsidR="00493E8A">
        <w:rPr>
          <w:rFonts w:cstheme="minorHAnsi"/>
          <w:color w:val="FF0000"/>
        </w:rPr>
        <w:t>and mortality estimates or rates)</w:t>
      </w:r>
      <w:r w:rsidR="00486597" w:rsidRPr="00290FB9">
        <w:rPr>
          <w:rFonts w:cstheme="minorHAnsi"/>
          <w:color w:val="FF0000"/>
        </w:rPr>
        <w:t xml:space="preserve">]. </w:t>
      </w:r>
      <w:r w:rsidR="00493E8A" w:rsidRPr="00783ADF">
        <w:rPr>
          <w:rFonts w:cstheme="minorHAnsi"/>
          <w:color w:val="000000" w:themeColor="text1"/>
        </w:rPr>
        <w:t>Further,</w:t>
      </w:r>
      <w:r w:rsidR="00493E8A">
        <w:rPr>
          <w:rFonts w:cstheme="minorHAnsi"/>
          <w:color w:val="FF0000"/>
        </w:rPr>
        <w:t xml:space="preserve"> </w:t>
      </w:r>
      <w:r w:rsidR="00174DEF" w:rsidRPr="00290FB9">
        <w:rPr>
          <w:rFonts w:cstheme="minorHAnsi"/>
        </w:rPr>
        <w:t>t</w:t>
      </w:r>
      <w:r w:rsidR="005E10B6" w:rsidRPr="00290FB9">
        <w:rPr>
          <w:rFonts w:cstheme="minorHAnsi"/>
        </w:rPr>
        <w:t xml:space="preserve">his </w:t>
      </w:r>
      <w:r w:rsidR="00564B02">
        <w:rPr>
          <w:rFonts w:cstheme="minorHAnsi"/>
        </w:rPr>
        <w:t xml:space="preserve">pandemic-related </w:t>
      </w:r>
      <w:r w:rsidR="009F2E97" w:rsidRPr="00564B02">
        <w:rPr>
          <w:rFonts w:cstheme="minorHAnsi"/>
        </w:rPr>
        <w:t xml:space="preserve">vulnerability </w:t>
      </w:r>
      <w:r w:rsidR="00965338" w:rsidRPr="00564B02">
        <w:rPr>
          <w:rFonts w:cstheme="minorHAnsi"/>
        </w:rPr>
        <w:t xml:space="preserve">is </w:t>
      </w:r>
      <w:r w:rsidR="005E10B6" w:rsidRPr="00564B02">
        <w:rPr>
          <w:rFonts w:cstheme="minorHAnsi"/>
        </w:rPr>
        <w:t xml:space="preserve">compounded by </w:t>
      </w:r>
      <w:r w:rsidR="00493E8A">
        <w:rPr>
          <w:rFonts w:cstheme="minorHAnsi"/>
        </w:rPr>
        <w:t xml:space="preserve">low vaccination uptake: </w:t>
      </w:r>
      <w:r w:rsidR="00D21AB1">
        <w:rPr>
          <w:rFonts w:cstheme="minorHAnsi"/>
        </w:rPr>
        <w:t xml:space="preserve">nationally, </w:t>
      </w:r>
      <w:r w:rsidR="005E10B6" w:rsidRPr="00564B02">
        <w:rPr>
          <w:rFonts w:cstheme="minorHAnsi"/>
        </w:rPr>
        <w:t>mortality rates in</w:t>
      </w:r>
      <w:r w:rsidR="005E10B6" w:rsidRPr="008336A8">
        <w:rPr>
          <w:rFonts w:cstheme="minorHAnsi"/>
        </w:rPr>
        <w:t xml:space="preserve"> low</w:t>
      </w:r>
      <w:r w:rsidR="005E10B6" w:rsidRPr="00ED7534">
        <w:rPr>
          <w:rFonts w:cstheme="minorHAnsi"/>
        </w:rPr>
        <w:t xml:space="preserve">-vaccination counties </w:t>
      </w:r>
      <w:r w:rsidR="005E10B6" w:rsidRPr="00564B02">
        <w:rPr>
          <w:rFonts w:cstheme="minorHAnsi"/>
        </w:rPr>
        <w:t>were</w:t>
      </w:r>
      <w:r w:rsidR="005E10B6" w:rsidRPr="008336A8">
        <w:rPr>
          <w:rFonts w:cstheme="minorHAnsi"/>
        </w:rPr>
        <w:t xml:space="preserve"> approximately double</w:t>
      </w:r>
      <w:r w:rsidR="005E10B6" w:rsidRPr="00290FB9">
        <w:rPr>
          <w:rFonts w:cstheme="minorHAnsi"/>
        </w:rPr>
        <w:t xml:space="preserve"> </w:t>
      </w:r>
      <w:r w:rsidR="00493E8A">
        <w:rPr>
          <w:rFonts w:cstheme="minorHAnsi"/>
        </w:rPr>
        <w:t>compared</w:t>
      </w:r>
      <w:r w:rsidR="005E10B6" w:rsidRPr="00290FB9">
        <w:rPr>
          <w:rFonts w:cstheme="minorHAnsi"/>
        </w:rPr>
        <w:t xml:space="preserve"> to counties with 80% or more of their population vaccinated. </w:t>
      </w:r>
      <w:r w:rsidR="00586AC9" w:rsidRPr="00290FB9">
        <w:rPr>
          <w:rFonts w:cstheme="minorHAnsi"/>
        </w:rPr>
        <w:t xml:space="preserve">Within </w:t>
      </w:r>
      <w:r w:rsidR="00493E8A">
        <w:rPr>
          <w:rFonts w:cstheme="minorHAnsi"/>
        </w:rPr>
        <w:t>[</w:t>
      </w:r>
      <w:r w:rsidR="00586AC9" w:rsidRPr="00783ADF">
        <w:rPr>
          <w:rFonts w:cstheme="minorHAnsi"/>
          <w:color w:val="FF0000"/>
        </w:rPr>
        <w:t>our state</w:t>
      </w:r>
      <w:r w:rsidR="00493E8A">
        <w:rPr>
          <w:rFonts w:cstheme="minorHAnsi"/>
        </w:rPr>
        <w:t>]</w:t>
      </w:r>
      <w:r w:rsidR="00586AC9" w:rsidRPr="00290FB9">
        <w:rPr>
          <w:rFonts w:cstheme="minorHAnsi"/>
        </w:rPr>
        <w:t xml:space="preserve">, COVID-19 levels </w:t>
      </w:r>
      <w:r w:rsidR="00D21AB1">
        <w:rPr>
          <w:rFonts w:cstheme="minorHAnsi"/>
        </w:rPr>
        <w:t xml:space="preserve">mirror those national trends. </w:t>
      </w:r>
    </w:p>
    <w:p w14:paraId="7D3AC26E" w14:textId="77777777" w:rsidR="00E7707D" w:rsidRDefault="00E7707D">
      <w:pPr>
        <w:rPr>
          <w:rFonts w:cstheme="minorHAnsi"/>
        </w:rPr>
      </w:pPr>
    </w:p>
    <w:p w14:paraId="124BBFEF" w14:textId="3F9F7394" w:rsidR="00EB6E64" w:rsidRDefault="00D21AB1">
      <w:pPr>
        <w:rPr>
          <w:rFonts w:cstheme="minorHAnsi"/>
        </w:rPr>
      </w:pPr>
      <w:r>
        <w:rPr>
          <w:rFonts w:cstheme="minorHAnsi"/>
        </w:rPr>
        <w:t>The</w:t>
      </w:r>
      <w:r w:rsidR="00F408BA">
        <w:rPr>
          <w:rFonts w:cstheme="minorHAnsi"/>
        </w:rPr>
        <w:t xml:space="preserve"> COVID-19 pandemic has also revealed </w:t>
      </w:r>
      <w:r w:rsidR="007E2D84">
        <w:rPr>
          <w:rFonts w:cstheme="minorHAnsi"/>
        </w:rPr>
        <w:t>the importance of addressing county or community-level factors</w:t>
      </w:r>
      <w:r w:rsidRPr="00D21AB1">
        <w:rPr>
          <w:rFonts w:cstheme="minorHAnsi"/>
        </w:rPr>
        <w:t xml:space="preserve"> </w:t>
      </w:r>
      <w:r>
        <w:rPr>
          <w:rFonts w:cstheme="minorHAnsi"/>
        </w:rPr>
        <w:t xml:space="preserve">that create disparities in chronic diseases, including cancer. </w:t>
      </w:r>
      <w:r w:rsidR="007970C3">
        <w:rPr>
          <w:rFonts w:cstheme="minorHAnsi"/>
        </w:rPr>
        <w:t>These social determinants of health (SDoH)</w:t>
      </w:r>
      <w:r w:rsidR="00E50DA8">
        <w:rPr>
          <w:rFonts w:cstheme="minorHAnsi"/>
        </w:rPr>
        <w:t>, which can</w:t>
      </w:r>
      <w:r w:rsidR="007970C3">
        <w:rPr>
          <w:rFonts w:cstheme="minorHAnsi"/>
        </w:rPr>
        <w:t xml:space="preserve"> include chronic or situation poverty (including the newly unemployed, uninsured, and temporary homel</w:t>
      </w:r>
      <w:r w:rsidR="00E50DA8">
        <w:rPr>
          <w:rFonts w:cstheme="minorHAnsi"/>
        </w:rPr>
        <w:t>e</w:t>
      </w:r>
      <w:r w:rsidR="007970C3">
        <w:rPr>
          <w:rFonts w:cstheme="minorHAnsi"/>
        </w:rPr>
        <w:t xml:space="preserve">ss populations due to COVID-19), </w:t>
      </w:r>
      <w:r w:rsidR="00E50DA8">
        <w:rPr>
          <w:rFonts w:cstheme="minorHAnsi"/>
        </w:rPr>
        <w:t xml:space="preserve">low education levels, </w:t>
      </w:r>
      <w:r w:rsidR="007970C3">
        <w:rPr>
          <w:rFonts w:cstheme="minorHAnsi"/>
        </w:rPr>
        <w:t>food and pharmacy deserts, affect so many things</w:t>
      </w:r>
      <w:r w:rsidR="009561B5">
        <w:rPr>
          <w:rFonts w:cstheme="minorHAnsi"/>
        </w:rPr>
        <w:t>--</w:t>
      </w:r>
      <w:r w:rsidR="007970C3">
        <w:rPr>
          <w:rFonts w:cstheme="minorHAnsi"/>
        </w:rPr>
        <w:t xml:space="preserve">COVID-19 risk and vaccination rates, cancer rates, and tobacco use, to name a few. </w:t>
      </w:r>
      <w:r w:rsidR="00AB1A84" w:rsidRPr="00F408BA">
        <w:rPr>
          <w:rFonts w:cstheme="minorHAnsi"/>
        </w:rPr>
        <w:t xml:space="preserve">As the COVID-19 pandemic </w:t>
      </w:r>
      <w:r w:rsidR="00AB1A84" w:rsidRPr="00EB6E64">
        <w:rPr>
          <w:rFonts w:cstheme="minorHAnsi"/>
        </w:rPr>
        <w:t xml:space="preserve">tide </w:t>
      </w:r>
      <w:r w:rsidR="00981BB5" w:rsidRPr="00EB6E64">
        <w:rPr>
          <w:rFonts w:cstheme="minorHAnsi"/>
        </w:rPr>
        <w:t xml:space="preserve">gradually </w:t>
      </w:r>
      <w:r w:rsidR="00AB1A84" w:rsidRPr="00EB6E64">
        <w:rPr>
          <w:rFonts w:cstheme="minorHAnsi"/>
        </w:rPr>
        <w:t xml:space="preserve">begins to </w:t>
      </w:r>
      <w:r w:rsidR="007970C3">
        <w:rPr>
          <w:rFonts w:cstheme="minorHAnsi"/>
        </w:rPr>
        <w:t>recede</w:t>
      </w:r>
      <w:r w:rsidR="00AB1A84" w:rsidRPr="00EB6E64">
        <w:rPr>
          <w:rFonts w:cstheme="minorHAnsi"/>
        </w:rPr>
        <w:t xml:space="preserve">, some of our country’s most vulnerable populations and communities remain </w:t>
      </w:r>
      <w:r w:rsidR="00141434" w:rsidRPr="00953161">
        <w:rPr>
          <w:rFonts w:cstheme="minorHAnsi"/>
        </w:rPr>
        <w:t>at risk</w:t>
      </w:r>
      <w:r w:rsidR="00141434" w:rsidRPr="00F408BA">
        <w:rPr>
          <w:rFonts w:cstheme="minorHAnsi"/>
        </w:rPr>
        <w:t xml:space="preserve"> </w:t>
      </w:r>
      <w:r>
        <w:rPr>
          <w:rFonts w:cstheme="minorHAnsi"/>
        </w:rPr>
        <w:t>and</w:t>
      </w:r>
      <w:r w:rsidRPr="00F408BA">
        <w:rPr>
          <w:rFonts w:cstheme="minorHAnsi"/>
        </w:rPr>
        <w:t xml:space="preserve"> </w:t>
      </w:r>
      <w:r w:rsidR="00141434" w:rsidRPr="00F408BA">
        <w:rPr>
          <w:rFonts w:cstheme="minorHAnsi"/>
        </w:rPr>
        <w:t xml:space="preserve">susceptible to </w:t>
      </w:r>
      <w:r>
        <w:rPr>
          <w:rFonts w:cstheme="minorHAnsi"/>
        </w:rPr>
        <w:t>COVID-19-</w:t>
      </w:r>
      <w:r w:rsidR="00AB1A84" w:rsidRPr="00F408BA">
        <w:rPr>
          <w:rFonts w:cstheme="minorHAnsi"/>
        </w:rPr>
        <w:t xml:space="preserve">related health disparities. </w:t>
      </w:r>
      <w:r>
        <w:rPr>
          <w:rFonts w:cstheme="minorHAnsi"/>
        </w:rPr>
        <w:t xml:space="preserve">In our state, </w:t>
      </w:r>
      <w:r w:rsidR="00E7707D">
        <w:rPr>
          <w:rFonts w:cstheme="minorHAnsi"/>
        </w:rPr>
        <w:t>[</w:t>
      </w:r>
      <w:r w:rsidR="00E7707D" w:rsidRPr="00783ADF">
        <w:rPr>
          <w:rFonts w:cstheme="minorHAnsi"/>
          <w:color w:val="FF0000"/>
        </w:rPr>
        <w:t>insert state specific cancer data</w:t>
      </w:r>
      <w:r w:rsidR="008F225B" w:rsidRPr="00783ADF">
        <w:rPr>
          <w:rFonts w:cstheme="minorHAnsi"/>
          <w:color w:val="FF0000"/>
        </w:rPr>
        <w:t>, data on the prevalence of chronic disease(s) among cancer survivors</w:t>
      </w:r>
      <w:r w:rsidR="00E7707D" w:rsidRPr="00783ADF">
        <w:rPr>
          <w:rFonts w:cstheme="minorHAnsi"/>
          <w:color w:val="FF0000"/>
        </w:rPr>
        <w:t xml:space="preserve"> or tobacco/smoking rate among </w:t>
      </w:r>
      <w:r w:rsidR="008F225B" w:rsidRPr="00783ADF">
        <w:rPr>
          <w:rFonts w:cstheme="minorHAnsi"/>
          <w:color w:val="FF0000"/>
        </w:rPr>
        <w:t>adult population with disabilities</w:t>
      </w:r>
      <w:r w:rsidR="008F225B">
        <w:rPr>
          <w:rFonts w:cstheme="minorHAnsi"/>
        </w:rPr>
        <w:t xml:space="preserve">] </w:t>
      </w:r>
      <w:r w:rsidR="009561B5">
        <w:rPr>
          <w:rFonts w:cstheme="minorHAnsi"/>
        </w:rPr>
        <w:t>We are also</w:t>
      </w:r>
      <w:r>
        <w:rPr>
          <w:rFonts w:cstheme="minorHAnsi"/>
        </w:rPr>
        <w:t xml:space="preserve"> seeing</w:t>
      </w:r>
      <w:r w:rsidR="00EA6AFA">
        <w:rPr>
          <w:rFonts w:cstheme="minorHAnsi"/>
        </w:rPr>
        <w:t xml:space="preserve"> </w:t>
      </w:r>
      <w:r w:rsidR="00E7707D">
        <w:rPr>
          <w:rFonts w:cstheme="minorHAnsi"/>
        </w:rPr>
        <w:t>[</w:t>
      </w:r>
      <w:r w:rsidR="00EA6AFA" w:rsidRPr="00783ADF">
        <w:rPr>
          <w:rFonts w:cstheme="minorHAnsi"/>
          <w:color w:val="FF0000"/>
        </w:rPr>
        <w:t xml:space="preserve">state specific data </w:t>
      </w:r>
      <w:r w:rsidR="009561B5">
        <w:rPr>
          <w:rFonts w:cstheme="minorHAnsi"/>
          <w:color w:val="FF0000"/>
        </w:rPr>
        <w:t xml:space="preserve">trends </w:t>
      </w:r>
      <w:r w:rsidR="00EA6AFA" w:rsidRPr="00783ADF">
        <w:rPr>
          <w:rFonts w:cstheme="minorHAnsi"/>
          <w:color w:val="FF0000"/>
        </w:rPr>
        <w:t>on populations without health insurance or considered uninsured</w:t>
      </w:r>
      <w:r w:rsidR="00EA6AFA">
        <w:rPr>
          <w:rFonts w:cstheme="minorHAnsi"/>
        </w:rPr>
        <w:t>]</w:t>
      </w:r>
    </w:p>
    <w:p w14:paraId="31189960" w14:textId="77777777" w:rsidR="00EB6E64" w:rsidRDefault="00EB6E64">
      <w:pPr>
        <w:rPr>
          <w:rFonts w:cstheme="minorHAnsi"/>
        </w:rPr>
      </w:pPr>
    </w:p>
    <w:p w14:paraId="05FBE04D" w14:textId="6807C781" w:rsidR="00AB1A84" w:rsidRDefault="009561B5">
      <w:r>
        <w:rPr>
          <w:rFonts w:cstheme="minorHAnsi"/>
        </w:rPr>
        <w:lastRenderedPageBreak/>
        <w:t xml:space="preserve">Compounding SDoH is </w:t>
      </w:r>
      <w:r w:rsidR="00E50DA8">
        <w:rPr>
          <w:rFonts w:cstheme="minorHAnsi"/>
        </w:rPr>
        <w:t xml:space="preserve">consumer </w:t>
      </w:r>
      <w:r>
        <w:rPr>
          <w:rFonts w:cstheme="minorHAnsi"/>
        </w:rPr>
        <w:t xml:space="preserve">confusion. </w:t>
      </w:r>
      <w:r w:rsidR="0078576C" w:rsidRPr="00EB3133">
        <w:rPr>
          <w:rFonts w:cstheme="minorHAnsi"/>
          <w:i/>
          <w:iCs/>
        </w:rPr>
        <w:t>Confronting Health Misinformation: The U.S. Surgeon General’s Advisory on Building a Healthy Information Environment</w:t>
      </w:r>
      <w:r w:rsidR="00555720">
        <w:rPr>
          <w:rFonts w:cstheme="minorHAnsi"/>
        </w:rPr>
        <w:t xml:space="preserve"> notes that</w:t>
      </w:r>
      <w:r w:rsidR="00EB3133">
        <w:rPr>
          <w:rFonts w:cstheme="minorHAnsi"/>
        </w:rPr>
        <w:t xml:space="preserve"> </w:t>
      </w:r>
      <w:r w:rsidR="003E5120">
        <w:t>“</w:t>
      </w:r>
      <w:r w:rsidR="00E50DA8">
        <w:t>W</w:t>
      </w:r>
      <w:r w:rsidR="003E5120">
        <w:t>ithout sufficient communication that provides clarity and context, many people have had trouble figuring out what to believe, which sources to trust, and how to keep up with changing knowledge and guidance.</w:t>
      </w:r>
      <w:r w:rsidR="0078576C">
        <w:t xml:space="preserve"> And health misinformation has also reduced the willingness of people to seek effective treatment for cancer, heart disease, and other conditions.”</w:t>
      </w:r>
      <w:r w:rsidR="00783ADF">
        <w:rPr>
          <w:rStyle w:val="FootnoteReference"/>
        </w:rPr>
        <w:footnoteReference w:id="2"/>
      </w:r>
      <w:r w:rsidR="0078576C">
        <w:t xml:space="preserve"> </w:t>
      </w:r>
      <w:r w:rsidR="00555720" w:rsidRPr="003E5120">
        <w:rPr>
          <w:rFonts w:cstheme="minorHAnsi"/>
        </w:rPr>
        <w:t xml:space="preserve">In addition, as noted </w:t>
      </w:r>
      <w:r w:rsidR="00555720">
        <w:rPr>
          <w:rFonts w:cstheme="minorHAnsi"/>
        </w:rPr>
        <w:t>in the</w:t>
      </w:r>
      <w:r w:rsidR="00555720" w:rsidRPr="003E5120">
        <w:rPr>
          <w:rFonts w:cstheme="minorHAnsi"/>
        </w:rPr>
        <w:t xml:space="preserve"> American Medical Association </w:t>
      </w:r>
      <w:r w:rsidR="00555720">
        <w:rPr>
          <w:rFonts w:cstheme="minorHAnsi"/>
        </w:rPr>
        <w:t xml:space="preserve">article </w:t>
      </w:r>
      <w:r w:rsidR="00555720" w:rsidRPr="00783ADF">
        <w:rPr>
          <w:rFonts w:cstheme="minorHAnsi"/>
          <w:i/>
        </w:rPr>
        <w:t>Addressing Social Determinants of Health</w:t>
      </w:r>
      <w:r w:rsidRPr="00783ADF">
        <w:rPr>
          <w:rFonts w:cstheme="minorHAnsi"/>
          <w:i/>
        </w:rPr>
        <w:t>:</w:t>
      </w:r>
      <w:r w:rsidR="00555720" w:rsidRPr="00783ADF">
        <w:rPr>
          <w:rFonts w:cstheme="minorHAnsi"/>
          <w:i/>
        </w:rPr>
        <w:t xml:space="preserve">  Beyond the Clinic Walls</w:t>
      </w:r>
      <w:r w:rsidR="00E50DA8">
        <w:rPr>
          <w:rFonts w:cstheme="minorHAnsi"/>
        </w:rPr>
        <w:t>,</w:t>
      </w:r>
      <w:r w:rsidR="00555720">
        <w:rPr>
          <w:rFonts w:cstheme="minorHAnsi"/>
        </w:rPr>
        <w:t xml:space="preserve"> </w:t>
      </w:r>
      <w:r w:rsidR="00555720" w:rsidRPr="00EB3133">
        <w:rPr>
          <w:rFonts w:cstheme="minorHAnsi"/>
        </w:rPr>
        <w:t xml:space="preserve">the </w:t>
      </w:r>
      <w:r w:rsidR="00555720" w:rsidRPr="005E0B87">
        <w:rPr>
          <w:rFonts w:cstheme="minorHAnsi"/>
        </w:rPr>
        <w:t>lack of br</w:t>
      </w:r>
      <w:r w:rsidR="00555720" w:rsidRPr="00290FB9">
        <w:rPr>
          <w:rFonts w:cstheme="minorHAnsi"/>
        </w:rPr>
        <w:t xml:space="preserve">oadband internet access </w:t>
      </w:r>
      <w:r w:rsidR="00555720" w:rsidRPr="00EB6E64">
        <w:rPr>
          <w:rFonts w:cstheme="minorHAnsi"/>
        </w:rPr>
        <w:t xml:space="preserve">is a social determinant of health. The absence of broadband internet access </w:t>
      </w:r>
      <w:r w:rsidR="00555720">
        <w:rPr>
          <w:rFonts w:cstheme="minorHAnsi"/>
        </w:rPr>
        <w:t>and digital literacy have</w:t>
      </w:r>
      <w:r w:rsidR="00555720" w:rsidRPr="00564B02">
        <w:rPr>
          <w:rFonts w:cstheme="minorHAnsi"/>
        </w:rPr>
        <w:t xml:space="preserve"> the potential to worsen existing health disparities among populations already disproportionately affected</w:t>
      </w:r>
      <w:r>
        <w:rPr>
          <w:rFonts w:cstheme="minorHAnsi"/>
        </w:rPr>
        <w:t xml:space="preserve"> </w:t>
      </w:r>
      <w:r w:rsidR="00555720">
        <w:rPr>
          <w:rFonts w:cstheme="minorHAnsi"/>
        </w:rPr>
        <w:t xml:space="preserve">because it results in </w:t>
      </w:r>
      <w:r w:rsidR="00555720" w:rsidRPr="000A4FE3">
        <w:rPr>
          <w:rFonts w:cstheme="minorHAnsi"/>
        </w:rPr>
        <w:t xml:space="preserve">minimal access to credible </w:t>
      </w:r>
      <w:r w:rsidR="00555720">
        <w:rPr>
          <w:rFonts w:cstheme="minorHAnsi"/>
        </w:rPr>
        <w:t xml:space="preserve">scientific </w:t>
      </w:r>
      <w:r w:rsidR="00555720" w:rsidRPr="000A4FE3">
        <w:rPr>
          <w:rFonts w:cstheme="minorHAnsi"/>
        </w:rPr>
        <w:t>information and health-promoting resources or services</w:t>
      </w:r>
      <w:r w:rsidR="00D21AB1">
        <w:rPr>
          <w:rFonts w:cstheme="minorHAnsi"/>
        </w:rPr>
        <w:t xml:space="preserve">, </w:t>
      </w:r>
      <w:r w:rsidR="00555720" w:rsidRPr="000A4FE3">
        <w:rPr>
          <w:rFonts w:cstheme="minorHAnsi"/>
        </w:rPr>
        <w:t xml:space="preserve">including </w:t>
      </w:r>
      <w:r w:rsidR="00555720">
        <w:rPr>
          <w:rFonts w:cstheme="minorHAnsi"/>
        </w:rPr>
        <w:t xml:space="preserve">those related to </w:t>
      </w:r>
      <w:r w:rsidR="00555720" w:rsidRPr="000A4FE3">
        <w:rPr>
          <w:rFonts w:cstheme="minorHAnsi"/>
        </w:rPr>
        <w:t>COVID-19 vaccines.</w:t>
      </w:r>
      <w:r w:rsidR="00783ADF">
        <w:rPr>
          <w:rStyle w:val="FootnoteReference"/>
          <w:rFonts w:cstheme="minorHAnsi"/>
        </w:rPr>
        <w:footnoteReference w:id="3"/>
      </w:r>
    </w:p>
    <w:p w14:paraId="1E69DD9D" w14:textId="77777777" w:rsidR="003E5120" w:rsidRPr="009225D8" w:rsidRDefault="003E5120">
      <w:pPr>
        <w:rPr>
          <w:rFonts w:cstheme="minorHAnsi"/>
        </w:rPr>
      </w:pPr>
    </w:p>
    <w:p w14:paraId="6D9BF554" w14:textId="0529CAE9" w:rsidR="00ED7534" w:rsidRDefault="00564B02" w:rsidP="00442171">
      <w:pPr>
        <w:rPr>
          <w:rFonts w:cstheme="minorHAnsi"/>
          <w:shd w:val="clear" w:color="auto" w:fill="FFFFFF"/>
        </w:rPr>
      </w:pPr>
      <w:r>
        <w:rPr>
          <w:rFonts w:cstheme="minorHAnsi"/>
        </w:rPr>
        <w:t>The</w:t>
      </w:r>
      <w:r w:rsidR="00BD3D28" w:rsidRPr="00564B02">
        <w:rPr>
          <w:rFonts w:cstheme="minorHAnsi"/>
        </w:rPr>
        <w:t xml:space="preserve"> concerted efforts </w:t>
      </w:r>
      <w:r w:rsidR="009561B5">
        <w:rPr>
          <w:rFonts w:cstheme="minorHAnsi"/>
        </w:rPr>
        <w:t xml:space="preserve">to get </w:t>
      </w:r>
      <w:r w:rsidR="00BD3D28" w:rsidRPr="009225D8">
        <w:rPr>
          <w:rFonts w:cstheme="minorHAnsi"/>
        </w:rPr>
        <w:t>free FDA</w:t>
      </w:r>
      <w:r w:rsidR="00D21AB1">
        <w:rPr>
          <w:rFonts w:cstheme="minorHAnsi"/>
        </w:rPr>
        <w:t>-</w:t>
      </w:r>
      <w:r w:rsidR="00BD3D28" w:rsidRPr="009225D8">
        <w:rPr>
          <w:rFonts w:cstheme="minorHAnsi"/>
        </w:rPr>
        <w:t>approved COVID-19 vaccines</w:t>
      </w:r>
      <w:r w:rsidR="003E5120">
        <w:rPr>
          <w:rFonts w:cstheme="minorHAnsi"/>
        </w:rPr>
        <w:t xml:space="preserve"> nationwide</w:t>
      </w:r>
      <w:r w:rsidR="00BD3D28" w:rsidRPr="009225D8">
        <w:rPr>
          <w:rFonts w:cstheme="minorHAnsi"/>
        </w:rPr>
        <w:t xml:space="preserve"> </w:t>
      </w:r>
      <w:r w:rsidR="009561B5">
        <w:rPr>
          <w:rFonts w:cstheme="minorHAnsi"/>
        </w:rPr>
        <w:t xml:space="preserve">to populations who need them </w:t>
      </w:r>
      <w:r w:rsidR="00D21AB1">
        <w:rPr>
          <w:rFonts w:cstheme="minorHAnsi"/>
        </w:rPr>
        <w:t xml:space="preserve">have proven to be historic. We know that the vaccines </w:t>
      </w:r>
      <w:r w:rsidR="00093650" w:rsidRPr="008336A8">
        <w:rPr>
          <w:rFonts w:cstheme="minorHAnsi"/>
        </w:rPr>
        <w:t xml:space="preserve">greatly reduce the risk of </w:t>
      </w:r>
      <w:r w:rsidR="00BD3D28" w:rsidRPr="00ED7534">
        <w:rPr>
          <w:rFonts w:cstheme="minorHAnsi"/>
        </w:rPr>
        <w:t>COVID-19</w:t>
      </w:r>
      <w:r w:rsidR="00D21AB1">
        <w:rPr>
          <w:rFonts w:cstheme="minorHAnsi"/>
        </w:rPr>
        <w:t>-</w:t>
      </w:r>
      <w:r w:rsidR="00BD3D28" w:rsidRPr="00ED7534">
        <w:rPr>
          <w:rFonts w:cstheme="minorHAnsi"/>
        </w:rPr>
        <w:t>rel</w:t>
      </w:r>
      <w:r w:rsidR="00BD3D28" w:rsidRPr="007072C8">
        <w:rPr>
          <w:rFonts w:cstheme="minorHAnsi"/>
        </w:rPr>
        <w:t xml:space="preserve">ated severe complications, </w:t>
      </w:r>
      <w:r w:rsidR="00093650" w:rsidRPr="00EB6E64">
        <w:rPr>
          <w:rFonts w:cstheme="minorHAnsi"/>
        </w:rPr>
        <w:t>hospitalization</w:t>
      </w:r>
      <w:r w:rsidR="00BD3D28" w:rsidRPr="00EB6E64">
        <w:rPr>
          <w:rFonts w:cstheme="minorHAnsi"/>
        </w:rPr>
        <w:t>s</w:t>
      </w:r>
      <w:r w:rsidR="00093650" w:rsidRPr="00EB6E64">
        <w:rPr>
          <w:rFonts w:cstheme="minorHAnsi"/>
        </w:rPr>
        <w:t>, and death</w:t>
      </w:r>
      <w:r w:rsidR="00D21AB1">
        <w:rPr>
          <w:rFonts w:cstheme="minorHAnsi"/>
        </w:rPr>
        <w:t xml:space="preserve">—they truly </w:t>
      </w:r>
      <w:r w:rsidR="00312882" w:rsidRPr="008336A8">
        <w:rPr>
          <w:rFonts w:cstheme="minorHAnsi"/>
        </w:rPr>
        <w:t>are gamechanger</w:t>
      </w:r>
      <w:r w:rsidR="00D21AB1">
        <w:rPr>
          <w:rFonts w:cstheme="minorHAnsi"/>
        </w:rPr>
        <w:t>s</w:t>
      </w:r>
      <w:r w:rsidR="00312882" w:rsidRPr="008336A8">
        <w:rPr>
          <w:rFonts w:cstheme="minorHAnsi"/>
        </w:rPr>
        <w:t>.</w:t>
      </w:r>
      <w:r w:rsidR="00EB6E64">
        <w:rPr>
          <w:rFonts w:cstheme="minorHAnsi"/>
        </w:rPr>
        <w:t xml:space="preserve"> </w:t>
      </w:r>
      <w:commentRangeStart w:id="0"/>
      <w:r w:rsidR="00AC73AF" w:rsidRPr="00442171">
        <w:rPr>
          <w:rFonts w:cstheme="minorHAnsi"/>
        </w:rPr>
        <w:t xml:space="preserve">By </w:t>
      </w:r>
      <w:r w:rsidR="00442171">
        <w:rPr>
          <w:rFonts w:cstheme="minorHAnsi"/>
        </w:rPr>
        <w:t xml:space="preserve">applying </w:t>
      </w:r>
      <w:r w:rsidR="00AC73AF" w:rsidRPr="00442171">
        <w:rPr>
          <w:rFonts w:cstheme="minorHAnsi"/>
        </w:rPr>
        <w:t>some lessons learn</w:t>
      </w:r>
      <w:r w:rsidR="00442171">
        <w:rPr>
          <w:rFonts w:cstheme="minorHAnsi"/>
        </w:rPr>
        <w:t>ed</w:t>
      </w:r>
      <w:r w:rsidR="00AC73AF" w:rsidRPr="00442171">
        <w:rPr>
          <w:rFonts w:cstheme="minorHAnsi"/>
        </w:rPr>
        <w:t xml:space="preserve"> within our state during th</w:t>
      </w:r>
      <w:r w:rsidR="00442171">
        <w:rPr>
          <w:rFonts w:cstheme="minorHAnsi"/>
        </w:rPr>
        <w:t>e</w:t>
      </w:r>
      <w:r w:rsidR="00AC73AF" w:rsidRPr="00442171">
        <w:rPr>
          <w:rFonts w:cstheme="minorHAnsi"/>
        </w:rPr>
        <w:t xml:space="preserve"> COVID-19 pandemic</w:t>
      </w:r>
      <w:r w:rsidR="00442171">
        <w:rPr>
          <w:rFonts w:cstheme="minorHAnsi"/>
        </w:rPr>
        <w:t xml:space="preserve"> planning </w:t>
      </w:r>
      <w:r w:rsidR="00953161">
        <w:rPr>
          <w:rFonts w:cstheme="minorHAnsi"/>
        </w:rPr>
        <w:t xml:space="preserve">and </w:t>
      </w:r>
      <w:r w:rsidR="00442171">
        <w:rPr>
          <w:rFonts w:cstheme="minorHAnsi"/>
        </w:rPr>
        <w:t>vaccine rollout</w:t>
      </w:r>
      <w:r w:rsidR="002E7FAC">
        <w:rPr>
          <w:rFonts w:cstheme="minorHAnsi"/>
        </w:rPr>
        <w:t xml:space="preserve"> phases</w:t>
      </w:r>
      <w:r w:rsidR="00E50DA8">
        <w:rPr>
          <w:rFonts w:cstheme="minorHAnsi"/>
        </w:rPr>
        <w:t>,</w:t>
      </w:r>
      <w:r w:rsidR="00442171">
        <w:rPr>
          <w:rFonts w:cstheme="minorHAnsi"/>
        </w:rPr>
        <w:t xml:space="preserve"> </w:t>
      </w:r>
      <w:r w:rsidR="00327C14">
        <w:rPr>
          <w:rFonts w:cstheme="minorHAnsi"/>
        </w:rPr>
        <w:t xml:space="preserve">along </w:t>
      </w:r>
      <w:r w:rsidR="002E7FAC">
        <w:rPr>
          <w:rFonts w:cstheme="minorHAnsi"/>
        </w:rPr>
        <w:t>with the</w:t>
      </w:r>
      <w:r w:rsidR="00442171">
        <w:rPr>
          <w:rFonts w:cstheme="minorHAnsi"/>
        </w:rPr>
        <w:t xml:space="preserve"> establishment of </w:t>
      </w:r>
      <w:r w:rsidR="00064E9E">
        <w:rPr>
          <w:rFonts w:cstheme="minorHAnsi"/>
        </w:rPr>
        <w:t>public-private-community</w:t>
      </w:r>
      <w:r w:rsidR="002E7FAC">
        <w:rPr>
          <w:rFonts w:cstheme="minorHAnsi"/>
        </w:rPr>
        <w:t xml:space="preserve"> partnerships </w:t>
      </w:r>
      <w:r w:rsidR="00442171">
        <w:rPr>
          <w:rFonts w:cstheme="minorHAnsi"/>
        </w:rPr>
        <w:t>centered around health equity</w:t>
      </w:r>
      <w:r w:rsidR="00D21AB1">
        <w:rPr>
          <w:rFonts w:cstheme="minorHAnsi"/>
        </w:rPr>
        <w:t>,</w:t>
      </w:r>
      <w:r w:rsidR="00442171">
        <w:rPr>
          <w:rFonts w:cstheme="minorHAnsi"/>
        </w:rPr>
        <w:t xml:space="preserve"> we </w:t>
      </w:r>
      <w:r w:rsidR="00442171" w:rsidRPr="00E60D2C">
        <w:rPr>
          <w:rFonts w:cstheme="minorHAnsi"/>
          <w:color w:val="FF0000"/>
        </w:rPr>
        <w:t>[</w:t>
      </w:r>
      <w:r w:rsidR="00E60D2C" w:rsidRPr="00E60D2C">
        <w:rPr>
          <w:rFonts w:cstheme="minorHAnsi"/>
          <w:color w:val="FF0000"/>
        </w:rPr>
        <w:t xml:space="preserve">insert </w:t>
      </w:r>
      <w:r w:rsidR="00442171" w:rsidRPr="00E60D2C">
        <w:rPr>
          <w:rFonts w:cstheme="minorHAnsi"/>
          <w:color w:val="FF0000"/>
        </w:rPr>
        <w:t>state</w:t>
      </w:r>
      <w:r w:rsidR="00D57FC6">
        <w:rPr>
          <w:rFonts w:cstheme="minorHAnsi"/>
          <w:color w:val="FF0000"/>
        </w:rPr>
        <w:t xml:space="preserve">, </w:t>
      </w:r>
      <w:r w:rsidR="00E60D2C" w:rsidRPr="00E60D2C">
        <w:rPr>
          <w:rFonts w:cstheme="minorHAnsi"/>
          <w:color w:val="FF0000"/>
        </w:rPr>
        <w:t xml:space="preserve">state </w:t>
      </w:r>
      <w:r w:rsidR="00E60D2C">
        <w:rPr>
          <w:rFonts w:cstheme="minorHAnsi"/>
          <w:color w:val="FF0000"/>
        </w:rPr>
        <w:t xml:space="preserve">cancer or tobacco control </w:t>
      </w:r>
      <w:r w:rsidR="00E60D2C" w:rsidRPr="00E60D2C">
        <w:rPr>
          <w:rFonts w:cstheme="minorHAnsi"/>
          <w:color w:val="FF0000"/>
        </w:rPr>
        <w:t>program here</w:t>
      </w:r>
      <w:r w:rsidR="00442171" w:rsidRPr="00E60D2C">
        <w:rPr>
          <w:rFonts w:cstheme="minorHAnsi"/>
          <w:color w:val="FF0000"/>
        </w:rPr>
        <w:t xml:space="preserve">] </w:t>
      </w:r>
      <w:r w:rsidR="00442171">
        <w:rPr>
          <w:rFonts w:cstheme="minorHAnsi"/>
        </w:rPr>
        <w:t xml:space="preserve">are </w:t>
      </w:r>
      <w:r w:rsidR="00D57FC6">
        <w:rPr>
          <w:rFonts w:cstheme="minorHAnsi"/>
        </w:rPr>
        <w:t xml:space="preserve">committed and </w:t>
      </w:r>
      <w:r w:rsidR="00442171" w:rsidRPr="00442171">
        <w:rPr>
          <w:rFonts w:cstheme="minorHAnsi"/>
        </w:rPr>
        <w:t xml:space="preserve">well-positioned to </w:t>
      </w:r>
      <w:r w:rsidR="00E60D2C">
        <w:rPr>
          <w:rFonts w:cstheme="minorHAnsi"/>
        </w:rPr>
        <w:t xml:space="preserve">identify collaborative </w:t>
      </w:r>
      <w:r w:rsidR="00442171" w:rsidRPr="00442171">
        <w:rPr>
          <w:rFonts w:cstheme="minorHAnsi"/>
        </w:rPr>
        <w:t xml:space="preserve">solutions that </w:t>
      </w:r>
      <w:r w:rsidR="00442171" w:rsidRPr="00442171">
        <w:rPr>
          <w:rFonts w:cstheme="minorHAnsi"/>
          <w:shd w:val="clear" w:color="auto" w:fill="FFFFFF"/>
        </w:rPr>
        <w:t>can lead to broader</w:t>
      </w:r>
      <w:r w:rsidR="00327C14">
        <w:rPr>
          <w:rFonts w:cstheme="minorHAnsi"/>
          <w:shd w:val="clear" w:color="auto" w:fill="FFFFFF"/>
        </w:rPr>
        <w:t xml:space="preserve">, </w:t>
      </w:r>
      <w:r w:rsidR="00F408BA" w:rsidRPr="00442171">
        <w:rPr>
          <w:rFonts w:cstheme="minorHAnsi"/>
          <w:shd w:val="clear" w:color="auto" w:fill="FFFFFF"/>
        </w:rPr>
        <w:t>sustainable,</w:t>
      </w:r>
      <w:r w:rsidR="00327C14">
        <w:rPr>
          <w:rFonts w:cstheme="minorHAnsi"/>
          <w:shd w:val="clear" w:color="auto" w:fill="FFFFFF"/>
        </w:rPr>
        <w:t xml:space="preserve"> and favorable transformation</w:t>
      </w:r>
      <w:r w:rsidR="002E7FAC">
        <w:rPr>
          <w:rFonts w:cstheme="minorHAnsi"/>
          <w:shd w:val="clear" w:color="auto" w:fill="FFFFFF"/>
        </w:rPr>
        <w:t xml:space="preserve">. </w:t>
      </w:r>
      <w:commentRangeEnd w:id="0"/>
      <w:r w:rsidR="00E50DA8">
        <w:rPr>
          <w:rStyle w:val="CommentReference"/>
        </w:rPr>
        <w:commentReference w:id="0"/>
      </w:r>
      <w:commentRangeStart w:id="1"/>
      <w:r w:rsidR="002E7FAC">
        <w:rPr>
          <w:rFonts w:cstheme="minorHAnsi"/>
          <w:shd w:val="clear" w:color="auto" w:fill="FFFFFF"/>
        </w:rPr>
        <w:t>Th</w:t>
      </w:r>
      <w:r w:rsidR="00F43B8E">
        <w:rPr>
          <w:rFonts w:cstheme="minorHAnsi"/>
          <w:shd w:val="clear" w:color="auto" w:fill="FFFFFF"/>
        </w:rPr>
        <w:t>is</w:t>
      </w:r>
      <w:r w:rsidR="002E7FAC">
        <w:rPr>
          <w:rFonts w:cstheme="minorHAnsi"/>
          <w:shd w:val="clear" w:color="auto" w:fill="FFFFFF"/>
        </w:rPr>
        <w:t xml:space="preserve"> </w:t>
      </w:r>
      <w:r w:rsidR="00F43B8E">
        <w:rPr>
          <w:rFonts w:cstheme="minorHAnsi"/>
          <w:shd w:val="clear" w:color="auto" w:fill="FFFFFF"/>
        </w:rPr>
        <w:t>transformation</w:t>
      </w:r>
      <w:r w:rsidR="0032458D">
        <w:rPr>
          <w:rFonts w:cstheme="minorHAnsi"/>
          <w:shd w:val="clear" w:color="auto" w:fill="FFFFFF"/>
        </w:rPr>
        <w:t xml:space="preserve"> involve</w:t>
      </w:r>
      <w:r w:rsidR="00F43B8E">
        <w:rPr>
          <w:rFonts w:cstheme="minorHAnsi"/>
          <w:shd w:val="clear" w:color="auto" w:fill="FFFFFF"/>
        </w:rPr>
        <w:t>s</w:t>
      </w:r>
      <w:r w:rsidR="00442171" w:rsidRPr="00442171">
        <w:rPr>
          <w:rFonts w:cstheme="minorHAnsi"/>
          <w:shd w:val="clear" w:color="auto" w:fill="FFFFFF"/>
        </w:rPr>
        <w:t xml:space="preserve"> address</w:t>
      </w:r>
      <w:r w:rsidR="0032458D">
        <w:rPr>
          <w:rFonts w:cstheme="minorHAnsi"/>
          <w:shd w:val="clear" w:color="auto" w:fill="FFFFFF"/>
        </w:rPr>
        <w:t>ing</w:t>
      </w:r>
      <w:r w:rsidR="00442171" w:rsidRPr="00442171">
        <w:rPr>
          <w:rFonts w:cstheme="minorHAnsi"/>
          <w:shd w:val="clear" w:color="auto" w:fill="FFFFFF"/>
        </w:rPr>
        <w:t xml:space="preserve"> </w:t>
      </w:r>
      <w:r w:rsidR="008336A8">
        <w:rPr>
          <w:rFonts w:cstheme="minorHAnsi"/>
          <w:shd w:val="clear" w:color="auto" w:fill="FFFFFF"/>
        </w:rPr>
        <w:t xml:space="preserve">root causes of </w:t>
      </w:r>
      <w:r w:rsidR="007072C8">
        <w:rPr>
          <w:rFonts w:cstheme="minorHAnsi"/>
          <w:shd w:val="clear" w:color="auto" w:fill="FFFFFF"/>
        </w:rPr>
        <w:t xml:space="preserve">health </w:t>
      </w:r>
      <w:r w:rsidR="008336A8">
        <w:rPr>
          <w:rFonts w:cstheme="minorHAnsi"/>
          <w:shd w:val="clear" w:color="auto" w:fill="FFFFFF"/>
        </w:rPr>
        <w:t>disparities</w:t>
      </w:r>
      <w:r w:rsidR="00D21AB1">
        <w:rPr>
          <w:rFonts w:cstheme="minorHAnsi"/>
          <w:shd w:val="clear" w:color="auto" w:fill="FFFFFF"/>
        </w:rPr>
        <w:t>,</w:t>
      </w:r>
      <w:r w:rsidR="008336A8">
        <w:rPr>
          <w:rFonts w:cstheme="minorHAnsi"/>
          <w:shd w:val="clear" w:color="auto" w:fill="FFFFFF"/>
        </w:rPr>
        <w:t xml:space="preserve"> </w:t>
      </w:r>
      <w:r w:rsidR="008145C7">
        <w:rPr>
          <w:rFonts w:cstheme="minorHAnsi"/>
          <w:shd w:val="clear" w:color="auto" w:fill="FFFFFF"/>
        </w:rPr>
        <w:t>such as</w:t>
      </w:r>
      <w:r w:rsidR="00D21AB1">
        <w:rPr>
          <w:rFonts w:cstheme="minorHAnsi"/>
          <w:shd w:val="clear" w:color="auto" w:fill="FFFFFF"/>
        </w:rPr>
        <w:t xml:space="preserve"> </w:t>
      </w:r>
      <w:r w:rsidR="007072C8">
        <w:rPr>
          <w:rFonts w:cstheme="minorHAnsi"/>
          <w:shd w:val="clear" w:color="auto" w:fill="FFFFFF"/>
        </w:rPr>
        <w:t>SDoH</w:t>
      </w:r>
      <w:r w:rsidR="00D21AB1">
        <w:rPr>
          <w:rFonts w:cstheme="minorHAnsi"/>
          <w:shd w:val="clear" w:color="auto" w:fill="FFFFFF"/>
        </w:rPr>
        <w:t>,</w:t>
      </w:r>
      <w:r w:rsidR="008145C7">
        <w:rPr>
          <w:rFonts w:cstheme="minorHAnsi"/>
          <w:shd w:val="clear" w:color="auto" w:fill="FFFFFF"/>
        </w:rPr>
        <w:t xml:space="preserve"> to enhance </w:t>
      </w:r>
      <w:r w:rsidR="008336A8">
        <w:rPr>
          <w:rFonts w:cstheme="minorHAnsi"/>
          <w:shd w:val="clear" w:color="auto" w:fill="FFFFFF"/>
        </w:rPr>
        <w:t xml:space="preserve">policies, systems, </w:t>
      </w:r>
      <w:r w:rsidR="008145C7">
        <w:rPr>
          <w:rFonts w:cstheme="minorHAnsi"/>
          <w:shd w:val="clear" w:color="auto" w:fill="FFFFFF"/>
        </w:rPr>
        <w:t>healthcare access</w:t>
      </w:r>
      <w:r w:rsidR="00D57FC6">
        <w:rPr>
          <w:rFonts w:cstheme="minorHAnsi"/>
          <w:shd w:val="clear" w:color="auto" w:fill="FFFFFF"/>
        </w:rPr>
        <w:t>, data collection</w:t>
      </w:r>
      <w:r w:rsidR="00D21AB1">
        <w:rPr>
          <w:rFonts w:cstheme="minorHAnsi"/>
          <w:shd w:val="clear" w:color="auto" w:fill="FFFFFF"/>
        </w:rPr>
        <w:t>,</w:t>
      </w:r>
      <w:r w:rsidR="008145C7">
        <w:rPr>
          <w:rFonts w:cstheme="minorHAnsi"/>
          <w:shd w:val="clear" w:color="auto" w:fill="FFFFFF"/>
        </w:rPr>
        <w:t xml:space="preserve"> and community resilience </w:t>
      </w:r>
      <w:r w:rsidR="00442171" w:rsidRPr="00442171">
        <w:rPr>
          <w:rFonts w:cstheme="minorHAnsi"/>
          <w:shd w:val="clear" w:color="auto" w:fill="FFFFFF"/>
        </w:rPr>
        <w:t xml:space="preserve">that go beyond </w:t>
      </w:r>
      <w:r w:rsidR="00E50DA8">
        <w:rPr>
          <w:rFonts w:cstheme="minorHAnsi"/>
          <w:shd w:val="clear" w:color="auto" w:fill="FFFFFF"/>
        </w:rPr>
        <w:t>r</w:t>
      </w:r>
      <w:r w:rsidR="00442171" w:rsidRPr="00442171">
        <w:rPr>
          <w:rFonts w:cstheme="minorHAnsi"/>
          <w:shd w:val="clear" w:color="auto" w:fill="FFFFFF"/>
        </w:rPr>
        <w:t>esponses to the COVID-19 pandemi</w:t>
      </w:r>
      <w:r w:rsidR="0032458D">
        <w:rPr>
          <w:rFonts w:cstheme="minorHAnsi"/>
          <w:shd w:val="clear" w:color="auto" w:fill="FFFFFF"/>
        </w:rPr>
        <w:t>c</w:t>
      </w:r>
      <w:r w:rsidR="007072C8">
        <w:rPr>
          <w:rFonts w:cstheme="minorHAnsi"/>
          <w:shd w:val="clear" w:color="auto" w:fill="FFFFFF"/>
        </w:rPr>
        <w:t xml:space="preserve"> and </w:t>
      </w:r>
      <w:r w:rsidR="00EA2415">
        <w:rPr>
          <w:rFonts w:cstheme="minorHAnsi"/>
          <w:shd w:val="clear" w:color="auto" w:fill="FFFFFF"/>
        </w:rPr>
        <w:t xml:space="preserve">reduce </w:t>
      </w:r>
      <w:r w:rsidR="007072C8">
        <w:rPr>
          <w:rFonts w:cstheme="minorHAnsi"/>
          <w:shd w:val="clear" w:color="auto" w:fill="FFFFFF"/>
        </w:rPr>
        <w:t>cancer and some tobacco-related disparities</w:t>
      </w:r>
      <w:commentRangeEnd w:id="1"/>
      <w:r w:rsidR="00E50DA8">
        <w:rPr>
          <w:rStyle w:val="CommentReference"/>
        </w:rPr>
        <w:commentReference w:id="1"/>
      </w:r>
      <w:r w:rsidR="007072C8">
        <w:rPr>
          <w:rFonts w:cstheme="minorHAnsi"/>
          <w:shd w:val="clear" w:color="auto" w:fill="FFFFFF"/>
        </w:rPr>
        <w:t>.</w:t>
      </w:r>
      <w:r w:rsidR="00783ADF">
        <w:rPr>
          <w:rStyle w:val="FootnoteReference"/>
          <w:rFonts w:cstheme="minorHAnsi"/>
          <w:shd w:val="clear" w:color="auto" w:fill="FFFFFF"/>
        </w:rPr>
        <w:footnoteReference w:id="4"/>
      </w:r>
      <w:r w:rsidR="00783ADF">
        <w:rPr>
          <w:rFonts w:cstheme="minorHAnsi"/>
          <w:shd w:val="clear" w:color="auto" w:fill="FFFFFF"/>
        </w:rPr>
        <w:t xml:space="preserve"> </w:t>
      </w:r>
      <w:r w:rsidR="00327C14">
        <w:rPr>
          <w:rFonts w:cstheme="minorHAnsi"/>
          <w:shd w:val="clear" w:color="auto" w:fill="FFFFFF"/>
        </w:rPr>
        <w:t>[</w:t>
      </w:r>
      <w:r w:rsidR="00327C14" w:rsidRPr="00783ADF">
        <w:rPr>
          <w:rFonts w:cstheme="minorHAnsi"/>
          <w:color w:val="FF0000"/>
          <w:shd w:val="clear" w:color="auto" w:fill="FFFFFF"/>
        </w:rPr>
        <w:t>insert examples of state specific successes, milestones</w:t>
      </w:r>
      <w:r w:rsidR="00F408BA" w:rsidRPr="00783ADF">
        <w:rPr>
          <w:rFonts w:cstheme="minorHAnsi"/>
          <w:color w:val="FF0000"/>
          <w:shd w:val="clear" w:color="auto" w:fill="FFFFFF"/>
        </w:rPr>
        <w:t>, partnerships</w:t>
      </w:r>
      <w:r w:rsidR="00327C14" w:rsidRPr="00783ADF">
        <w:rPr>
          <w:rFonts w:cstheme="minorHAnsi"/>
          <w:color w:val="FF0000"/>
          <w:shd w:val="clear" w:color="auto" w:fill="FFFFFF"/>
        </w:rPr>
        <w:t xml:space="preserve"> or lessons learned</w:t>
      </w:r>
      <w:r w:rsidR="00327C14">
        <w:rPr>
          <w:rFonts w:cstheme="minorHAnsi"/>
          <w:shd w:val="clear" w:color="auto" w:fill="FFFFFF"/>
        </w:rPr>
        <w:t>]</w:t>
      </w:r>
    </w:p>
    <w:p w14:paraId="681EC090" w14:textId="3D3D1590" w:rsidR="00AC73AF" w:rsidRPr="00442171" w:rsidRDefault="00F43B8E">
      <w:pPr>
        <w:rPr>
          <w:rFonts w:cstheme="minorHAnsi"/>
        </w:rPr>
      </w:pPr>
      <w:r>
        <w:rPr>
          <w:rFonts w:cstheme="minorHAnsi"/>
          <w:shd w:val="clear" w:color="auto" w:fill="FFFFFF"/>
        </w:rPr>
        <w:t xml:space="preserve"> </w:t>
      </w:r>
    </w:p>
    <w:p w14:paraId="2D010C45" w14:textId="45942559" w:rsidR="00E50DA8" w:rsidRDefault="005C6059">
      <w:pPr>
        <w:rPr>
          <w:rFonts w:cstheme="minorHAnsi"/>
        </w:rPr>
      </w:pPr>
      <w:r w:rsidRPr="00EB3133">
        <w:rPr>
          <w:rFonts w:cstheme="minorHAnsi"/>
        </w:rPr>
        <w:t xml:space="preserve">The progress in getting people vaccinated shows that a sustained, public health emphasis on </w:t>
      </w:r>
      <w:r w:rsidR="00E50DA8">
        <w:rPr>
          <w:rFonts w:cstheme="minorHAnsi"/>
        </w:rPr>
        <w:t xml:space="preserve">a specific area </w:t>
      </w:r>
      <w:r w:rsidRPr="00EB3133">
        <w:rPr>
          <w:rFonts w:cstheme="minorHAnsi"/>
        </w:rPr>
        <w:t>is working</w:t>
      </w:r>
      <w:r w:rsidR="00EE5768" w:rsidRPr="005E0B87">
        <w:rPr>
          <w:rFonts w:cstheme="minorHAnsi"/>
        </w:rPr>
        <w:t>, even if it is</w:t>
      </w:r>
      <w:r w:rsidR="005E0B87">
        <w:rPr>
          <w:rFonts w:cstheme="minorHAnsi"/>
        </w:rPr>
        <w:t xml:space="preserve"> gradual or</w:t>
      </w:r>
      <w:r w:rsidR="00EE5768" w:rsidRPr="005E0B87">
        <w:rPr>
          <w:rFonts w:cstheme="minorHAnsi"/>
        </w:rPr>
        <w:t xml:space="preserve"> slower </w:t>
      </w:r>
      <w:r w:rsidR="002E24F0">
        <w:rPr>
          <w:rFonts w:cstheme="minorHAnsi"/>
        </w:rPr>
        <w:t xml:space="preserve">in some counties or communities </w:t>
      </w:r>
      <w:r w:rsidR="00EE5768" w:rsidRPr="005E0B87">
        <w:rPr>
          <w:rFonts w:cstheme="minorHAnsi"/>
        </w:rPr>
        <w:t xml:space="preserve">than </w:t>
      </w:r>
      <w:r w:rsidR="00D21AB1">
        <w:rPr>
          <w:rFonts w:cstheme="minorHAnsi"/>
        </w:rPr>
        <w:t xml:space="preserve">we </w:t>
      </w:r>
      <w:r w:rsidR="00017BDA">
        <w:rPr>
          <w:rFonts w:cstheme="minorHAnsi"/>
        </w:rPr>
        <w:t xml:space="preserve">would </w:t>
      </w:r>
      <w:r w:rsidR="009561B5">
        <w:rPr>
          <w:rFonts w:cstheme="minorHAnsi"/>
        </w:rPr>
        <w:t>like</w:t>
      </w:r>
      <w:r w:rsidRPr="005E0B87">
        <w:rPr>
          <w:rFonts w:cstheme="minorHAnsi"/>
        </w:rPr>
        <w:t xml:space="preserve">. </w:t>
      </w:r>
      <w:r w:rsidR="00E50DA8">
        <w:rPr>
          <w:rFonts w:cstheme="minorHAnsi"/>
        </w:rPr>
        <w:t>Using the lessons learned from vaccination programs offers hope that we can c</w:t>
      </w:r>
      <w:r w:rsidR="00344012" w:rsidRPr="005E0B87">
        <w:rPr>
          <w:rFonts w:cstheme="minorHAnsi"/>
        </w:rPr>
        <w:t xml:space="preserve">ontinue to make progress toward our </w:t>
      </w:r>
      <w:r w:rsidR="00234D38">
        <w:rPr>
          <w:rFonts w:cstheme="minorHAnsi"/>
        </w:rPr>
        <w:t xml:space="preserve">Healthy People 2030 </w:t>
      </w:r>
      <w:r w:rsidR="00344012" w:rsidRPr="005E0B87">
        <w:rPr>
          <w:rFonts w:cstheme="minorHAnsi"/>
        </w:rPr>
        <w:t>goals</w:t>
      </w:r>
      <w:r w:rsidR="008B00EE">
        <w:rPr>
          <w:rFonts w:cstheme="minorHAnsi"/>
        </w:rPr>
        <w:t xml:space="preserve"> </w:t>
      </w:r>
      <w:r w:rsidR="002E24F0">
        <w:rPr>
          <w:rFonts w:cstheme="minorHAnsi"/>
        </w:rPr>
        <w:t xml:space="preserve">as a </w:t>
      </w:r>
      <w:r w:rsidR="008B00EE">
        <w:rPr>
          <w:rFonts w:cstheme="minorHAnsi"/>
        </w:rPr>
        <w:t xml:space="preserve">nation, state, county, </w:t>
      </w:r>
      <w:r w:rsidR="00EB6E64">
        <w:rPr>
          <w:rFonts w:cstheme="minorHAnsi"/>
        </w:rPr>
        <w:t>metropolitan statistical area</w:t>
      </w:r>
      <w:r w:rsidR="00D21AB1">
        <w:rPr>
          <w:rFonts w:cstheme="minorHAnsi"/>
        </w:rPr>
        <w:t xml:space="preserve">, </w:t>
      </w:r>
      <w:r w:rsidR="008B00EE">
        <w:rPr>
          <w:rFonts w:cstheme="minorHAnsi"/>
        </w:rPr>
        <w:t xml:space="preserve">and constellation of </w:t>
      </w:r>
      <w:r w:rsidR="00EB6E64">
        <w:rPr>
          <w:rFonts w:cstheme="minorHAnsi"/>
        </w:rPr>
        <w:t xml:space="preserve">rural </w:t>
      </w:r>
      <w:r w:rsidR="008B00EE">
        <w:rPr>
          <w:rFonts w:cstheme="minorHAnsi"/>
        </w:rPr>
        <w:t>communities</w:t>
      </w:r>
      <w:r w:rsidR="00344012" w:rsidRPr="005E0B87">
        <w:rPr>
          <w:rFonts w:cstheme="minorHAnsi"/>
        </w:rPr>
        <w:t>.</w:t>
      </w:r>
      <w:r w:rsidR="00783ADF">
        <w:rPr>
          <w:rStyle w:val="FootnoteReference"/>
          <w:rFonts w:cstheme="minorHAnsi"/>
        </w:rPr>
        <w:footnoteReference w:id="5"/>
      </w:r>
      <w:r w:rsidR="00344012" w:rsidRPr="005E0B87">
        <w:rPr>
          <w:rFonts w:cstheme="minorHAnsi"/>
        </w:rPr>
        <w:t xml:space="preserve"> We can’t do it alone</w:t>
      </w:r>
      <w:r w:rsidR="00E50DA8">
        <w:rPr>
          <w:rFonts w:cstheme="minorHAnsi"/>
        </w:rPr>
        <w:t>--</w:t>
      </w:r>
      <w:r w:rsidR="00344012" w:rsidRPr="005E0B87">
        <w:rPr>
          <w:rFonts w:cstheme="minorHAnsi"/>
        </w:rPr>
        <w:lastRenderedPageBreak/>
        <w:t xml:space="preserve">everyone can listen, practice empathy, and share </w:t>
      </w:r>
      <w:r w:rsidR="008B00EE">
        <w:rPr>
          <w:rFonts w:cstheme="minorHAnsi"/>
        </w:rPr>
        <w:t>credible</w:t>
      </w:r>
      <w:r w:rsidR="008B00EE" w:rsidRPr="005E0B87">
        <w:rPr>
          <w:rFonts w:cstheme="minorHAnsi"/>
        </w:rPr>
        <w:t xml:space="preserve"> </w:t>
      </w:r>
      <w:r w:rsidR="00344012" w:rsidRPr="005E0B87">
        <w:rPr>
          <w:rFonts w:cstheme="minorHAnsi"/>
        </w:rPr>
        <w:t xml:space="preserve">information as we work together to </w:t>
      </w:r>
      <w:r w:rsidR="00CC0073">
        <w:rPr>
          <w:rFonts w:cstheme="minorHAnsi"/>
        </w:rPr>
        <w:t>cultivate healthier communities across the lifespan</w:t>
      </w:r>
      <w:r w:rsidR="001D435A">
        <w:rPr>
          <w:rFonts w:cstheme="minorHAnsi"/>
        </w:rPr>
        <w:t xml:space="preserve">. </w:t>
      </w:r>
    </w:p>
    <w:p w14:paraId="00FF9A26" w14:textId="77777777" w:rsidR="00E50DA8" w:rsidRDefault="00E50DA8">
      <w:pPr>
        <w:rPr>
          <w:rFonts w:cstheme="minorHAnsi"/>
        </w:rPr>
      </w:pPr>
    </w:p>
    <w:p w14:paraId="377E36C4" w14:textId="0EC1D374" w:rsidR="007D3076" w:rsidRDefault="007D3076">
      <w:pPr>
        <w:rPr>
          <w:rFonts w:cstheme="minorHAnsi"/>
          <w:color w:val="FF0000"/>
        </w:rPr>
      </w:pPr>
      <w:r>
        <w:rPr>
          <w:rFonts w:cstheme="minorHAnsi"/>
        </w:rPr>
        <w:t xml:space="preserve">To obtain information about COVID-19 vaccinations available in your county, please </w:t>
      </w:r>
      <w:r w:rsidR="00C710CD">
        <w:rPr>
          <w:rFonts w:cstheme="minorHAnsi"/>
        </w:rPr>
        <w:t xml:space="preserve">contact </w:t>
      </w:r>
      <w:r w:rsidR="00C710CD" w:rsidRPr="001D1169">
        <w:rPr>
          <w:rFonts w:cstheme="minorHAnsi"/>
          <w:color w:val="FF0000"/>
        </w:rPr>
        <w:t xml:space="preserve">[insert state or national website information here]. </w:t>
      </w:r>
    </w:p>
    <w:p w14:paraId="3CD9CE9A" w14:textId="77777777" w:rsidR="004E4522" w:rsidRPr="001D1169" w:rsidRDefault="004E4522">
      <w:pPr>
        <w:rPr>
          <w:rFonts w:cstheme="minorHAnsi"/>
          <w:color w:val="FF0000"/>
        </w:rPr>
      </w:pPr>
    </w:p>
    <w:p w14:paraId="029532A6" w14:textId="30C4C56D" w:rsidR="005A34FC" w:rsidRPr="007D3076" w:rsidRDefault="005A34FC">
      <w:pPr>
        <w:rPr>
          <w:rFonts w:cstheme="minorHAnsi"/>
        </w:rPr>
      </w:pPr>
    </w:p>
    <w:p w14:paraId="07D6A625" w14:textId="58D5830D" w:rsidR="005A34FC" w:rsidRPr="00250B5C" w:rsidRDefault="005A34FC" w:rsidP="005A34FC">
      <w:pPr>
        <w:jc w:val="center"/>
        <w:rPr>
          <w:rFonts w:cstheme="minorHAnsi"/>
        </w:rPr>
      </w:pPr>
      <w:r w:rsidRPr="00250B5C">
        <w:rPr>
          <w:rFonts w:cstheme="minorHAnsi"/>
        </w:rPr>
        <w:t>###</w:t>
      </w:r>
    </w:p>
    <w:p w14:paraId="4875D9BB" w14:textId="77777777" w:rsidR="00312882" w:rsidRPr="00493E8A" w:rsidRDefault="00312882">
      <w:pPr>
        <w:rPr>
          <w:rFonts w:cstheme="minorHAnsi"/>
        </w:rPr>
      </w:pPr>
    </w:p>
    <w:p w14:paraId="5144D3AD" w14:textId="77777777" w:rsidR="003E5120" w:rsidRDefault="003E5120">
      <w:pPr>
        <w:rPr>
          <w:rFonts w:cstheme="minorHAnsi"/>
        </w:rPr>
      </w:pPr>
    </w:p>
    <w:p w14:paraId="5D1E359B" w14:textId="78DEE03D" w:rsidR="009100DA" w:rsidRPr="006B3B8C" w:rsidRDefault="009100DA">
      <w:pPr>
        <w:rPr>
          <w:rFonts w:cstheme="minorHAnsi"/>
        </w:rPr>
      </w:pPr>
    </w:p>
    <w:sectPr w:rsidR="009100DA" w:rsidRPr="006B3B8C" w:rsidSect="00BA2C8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my Stone" w:date="2022-04-26T15:04:00Z" w:initials="AS">
    <w:p w14:paraId="42EFB017" w14:textId="04042611" w:rsidR="00E50DA8" w:rsidRDefault="00E50DA8">
      <w:pPr>
        <w:pStyle w:val="CommentText"/>
      </w:pPr>
      <w:r>
        <w:rPr>
          <w:rStyle w:val="CommentReference"/>
        </w:rPr>
        <w:annotationRef/>
      </w:r>
      <w:r>
        <w:t>This is where the title came from – states are using lessons learned during covid/vaccine rollouts to address SDoH that can affect cancer rates and tobacco use.</w:t>
      </w:r>
    </w:p>
  </w:comment>
  <w:comment w:id="1" w:author="Amy Stone" w:date="2022-04-26T15:06:00Z" w:initials="AS">
    <w:p w14:paraId="2F46F9CF" w14:textId="680EEDD3" w:rsidR="00E50DA8" w:rsidRDefault="00E50DA8">
      <w:pPr>
        <w:pStyle w:val="CommentText"/>
      </w:pPr>
      <w:r>
        <w:rPr>
          <w:rStyle w:val="CommentReference"/>
        </w:rPr>
        <w:annotationRef/>
      </w:r>
      <w:r>
        <w:t>This is the point of the op/ed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EFB017" w15:done="0"/>
  <w15:commentEx w15:paraId="2F46F9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EFB017" w16cid:durableId="26128890"/>
  <w16cid:commentId w16cid:paraId="2F46F9CF" w16cid:durableId="261288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1A0D5" w14:textId="77777777" w:rsidR="003C3A4E" w:rsidRDefault="003C3A4E" w:rsidP="00070BB9">
      <w:r>
        <w:separator/>
      </w:r>
    </w:p>
  </w:endnote>
  <w:endnote w:type="continuationSeparator" w:id="0">
    <w:p w14:paraId="01BD036E" w14:textId="77777777" w:rsidR="003C3A4E" w:rsidRDefault="003C3A4E" w:rsidP="0007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7521F" w14:textId="77777777" w:rsidR="003C3A4E" w:rsidRDefault="003C3A4E" w:rsidP="00070BB9">
      <w:r>
        <w:separator/>
      </w:r>
    </w:p>
  </w:footnote>
  <w:footnote w:type="continuationSeparator" w:id="0">
    <w:p w14:paraId="78C6DEB8" w14:textId="77777777" w:rsidR="003C3A4E" w:rsidRDefault="003C3A4E" w:rsidP="00070BB9">
      <w:r>
        <w:continuationSeparator/>
      </w:r>
    </w:p>
  </w:footnote>
  <w:footnote w:id="1">
    <w:p w14:paraId="796D7E28" w14:textId="307BF7FF" w:rsidR="00783ADF" w:rsidRDefault="00783ADF" w:rsidP="00783ADF">
      <w:pPr>
        <w:pStyle w:val="FootnoteText"/>
      </w:pPr>
      <w:r>
        <w:rPr>
          <w:rStyle w:val="FootnoteReference"/>
        </w:rPr>
        <w:footnoteRef/>
      </w:r>
      <w:r>
        <w:t xml:space="preserve"> CDC. </w:t>
      </w:r>
      <w:hyperlink r:id="rId1" w:anchor="county-view?list_select_state=all_states&amp;list_select_county=all_counties&amp;data-type=" w:history="1">
        <w:r w:rsidRPr="00783ADF">
          <w:rPr>
            <w:rStyle w:val="Hyperlink"/>
          </w:rPr>
          <w:t>COVID-19 Integrated County View</w:t>
        </w:r>
      </w:hyperlink>
      <w:r w:rsidRPr="00783ADF">
        <w:t xml:space="preserve"> </w:t>
      </w:r>
    </w:p>
  </w:footnote>
  <w:footnote w:id="2">
    <w:p w14:paraId="0EEF90B1" w14:textId="6117C178" w:rsidR="004E4522" w:rsidRDefault="004E4522" w:rsidP="00783ADF">
      <w:pPr>
        <w:pStyle w:val="FootnoteText"/>
        <w:rPr>
          <w:rFonts w:ascii="Calibri" w:hAnsi="Calibri" w:cs="Calibri"/>
          <w:color w:val="333333"/>
          <w:shd w:val="clear" w:color="auto" w:fill="FFFFFF"/>
        </w:rPr>
      </w:pPr>
      <w:r>
        <w:rPr>
          <w:rStyle w:val="FootnoteReference"/>
        </w:rPr>
        <w:t>1</w:t>
      </w:r>
      <w:r w:rsidR="00783ADF">
        <w:t xml:space="preserve"> </w:t>
      </w:r>
      <w:r w:rsidRPr="004E4522">
        <w:rPr>
          <w:rFonts w:ascii="Calibri" w:hAnsi="Calibri" w:cs="Calibri"/>
          <w:color w:val="333333"/>
          <w:shd w:val="clear" w:color="auto" w:fill="FFFFFF"/>
        </w:rPr>
        <w:t>Ahmad FB, Anderson RN. The Leading Causes of Death in the US for 2020. </w:t>
      </w:r>
      <w:r w:rsidRPr="004E4522">
        <w:rPr>
          <w:rStyle w:val="Emphasis"/>
          <w:rFonts w:ascii="Calibri" w:hAnsi="Calibri" w:cs="Calibri"/>
          <w:color w:val="333333"/>
          <w:shd w:val="clear" w:color="auto" w:fill="FFFFFF"/>
        </w:rPr>
        <w:t>JAMA.</w:t>
      </w:r>
      <w:r w:rsidRPr="004E4522">
        <w:rPr>
          <w:rFonts w:ascii="Calibri" w:hAnsi="Calibri" w:cs="Calibri"/>
          <w:color w:val="333333"/>
          <w:shd w:val="clear" w:color="auto" w:fill="FFFFFF"/>
        </w:rPr>
        <w:t> 2021;325(18):1829–1830. doi:10.1001/jama.2021.5469</w:t>
      </w:r>
    </w:p>
    <w:p w14:paraId="6766071C" w14:textId="692A822A" w:rsidR="009278CF" w:rsidRDefault="009278CF" w:rsidP="00783ADF">
      <w:pPr>
        <w:pStyle w:val="FootnoteText"/>
      </w:pPr>
      <w:r w:rsidRPr="009278CF">
        <w:rPr>
          <w:rFonts w:ascii="Calibri" w:hAnsi="Calibri" w:cs="Calibri"/>
          <w:color w:val="333333"/>
          <w:shd w:val="clear" w:color="auto" w:fill="FFFFFF"/>
          <w:vertAlign w:val="superscript"/>
        </w:rPr>
        <w:t>2</w:t>
      </w:r>
      <w:r>
        <w:rPr>
          <w:rFonts w:ascii="Calibri" w:hAnsi="Calibri" w:cs="Calibri"/>
          <w:color w:val="333333"/>
          <w:shd w:val="clear" w:color="auto" w:fill="FFFFFF"/>
        </w:rPr>
        <w:t xml:space="preserve"> </w:t>
      </w:r>
      <w:r w:rsidRPr="009278CF">
        <w:rPr>
          <w:rFonts w:ascii="Calibri" w:hAnsi="Calibri" w:cs="Calibri"/>
          <w:color w:val="333333"/>
          <w:shd w:val="clear" w:color="auto" w:fill="FFFFFF"/>
        </w:rPr>
        <w:t>Shiels MS, Haque AT, Berrington de González A, Freedman ND. Leading Causes of Death in the US During the COVID-19 Pandemic, March 2020 to October 2021. </w:t>
      </w:r>
      <w:r w:rsidRPr="009278CF">
        <w:rPr>
          <w:rStyle w:val="Emphasis"/>
          <w:rFonts w:ascii="Calibri" w:hAnsi="Calibri" w:cs="Calibri"/>
          <w:color w:val="333333"/>
          <w:shd w:val="clear" w:color="auto" w:fill="FFFFFF"/>
        </w:rPr>
        <w:t>JAMA Intern Med.</w:t>
      </w:r>
      <w:r w:rsidRPr="009278CF">
        <w:rPr>
          <w:rFonts w:ascii="Calibri" w:hAnsi="Calibri" w:cs="Calibri"/>
          <w:color w:val="333333"/>
          <w:shd w:val="clear" w:color="auto" w:fill="FFFFFF"/>
        </w:rPr>
        <w:t> Published online July 05, 2022.</w:t>
      </w:r>
    </w:p>
    <w:p w14:paraId="33239475" w14:textId="5284C640" w:rsidR="00783ADF" w:rsidRDefault="004E4522" w:rsidP="00783ADF">
      <w:pPr>
        <w:pStyle w:val="FootnoteText"/>
      </w:pPr>
      <w:r w:rsidRPr="004E4522">
        <w:rPr>
          <w:vertAlign w:val="superscript"/>
        </w:rPr>
        <w:t>2</w:t>
      </w:r>
      <w:r>
        <w:t xml:space="preserve"> </w:t>
      </w:r>
      <w:r w:rsidR="00783ADF" w:rsidRPr="00783ADF">
        <w:t xml:space="preserve">Office of the Surgeon General (OSG). </w:t>
      </w:r>
      <w:hyperlink r:id="rId2" w:history="1">
        <w:r w:rsidR="00783ADF" w:rsidRPr="00783ADF">
          <w:rPr>
            <w:rStyle w:val="Hyperlink"/>
          </w:rPr>
          <w:t>Confronting Health Misinformation: The U.S. Surgeon General’s Advisory on Building a Healthy Information Environment [Internet</w:t>
        </w:r>
      </w:hyperlink>
      <w:r w:rsidR="00783ADF" w:rsidRPr="00783ADF">
        <w:t>]. Washington (DC): US Department of Health and Human Services; 2021. PMID: 34283416.</w:t>
      </w:r>
    </w:p>
  </w:footnote>
  <w:footnote w:id="3">
    <w:p w14:paraId="14A5263A" w14:textId="09E4FAF3" w:rsidR="00783ADF" w:rsidRPr="00783ADF" w:rsidRDefault="00783ADF" w:rsidP="00783ADF">
      <w:pPr>
        <w:pStyle w:val="FootnoteText"/>
      </w:pPr>
      <w:r>
        <w:rPr>
          <w:rStyle w:val="FootnoteReference"/>
        </w:rPr>
        <w:footnoteRef/>
      </w:r>
      <w:r>
        <w:t xml:space="preserve"> </w:t>
      </w:r>
      <w:r w:rsidRPr="00783ADF">
        <w:t xml:space="preserve">Bennett NM, Brown MT, Green T, Hall LL, Winkler AM. </w:t>
      </w:r>
      <w:hyperlink r:id="rId3" w:history="1">
        <w:r w:rsidRPr="00783ADF">
          <w:rPr>
            <w:rStyle w:val="Hyperlink"/>
          </w:rPr>
          <w:t>Addressing social determinants of health (SDOH): beyond the clinic walls.</w:t>
        </w:r>
      </w:hyperlink>
      <w:r w:rsidRPr="00783ADF">
        <w:t xml:space="preserve"> 2018. </w:t>
      </w:r>
    </w:p>
    <w:p w14:paraId="0D7D962E" w14:textId="12042DA8" w:rsidR="00783ADF" w:rsidRDefault="00783ADF">
      <w:pPr>
        <w:pStyle w:val="FootnoteText"/>
      </w:pPr>
    </w:p>
  </w:footnote>
  <w:footnote w:id="4">
    <w:p w14:paraId="564F2621" w14:textId="440B96CA" w:rsidR="00783ADF" w:rsidRDefault="00783ADF" w:rsidP="00783ADF">
      <w:pPr>
        <w:pStyle w:val="FootnoteText"/>
      </w:pPr>
      <w:r>
        <w:rPr>
          <w:rStyle w:val="FootnoteReference"/>
        </w:rPr>
        <w:footnoteRef/>
      </w:r>
      <w:r>
        <w:t xml:space="preserve"> </w:t>
      </w:r>
      <w:r w:rsidRPr="00783ADF">
        <w:t xml:space="preserve">SelfMade Health Network (SMHN) Coronavirus (COVID-19) </w:t>
      </w:r>
      <w:hyperlink r:id="rId4" w:history="1">
        <w:r w:rsidRPr="00783ADF">
          <w:rPr>
            <w:rStyle w:val="Hyperlink"/>
          </w:rPr>
          <w:t>Fact Sheet Series</w:t>
        </w:r>
      </w:hyperlink>
      <w:r w:rsidRPr="00783ADF">
        <w:t xml:space="preserve"> </w:t>
      </w:r>
    </w:p>
  </w:footnote>
  <w:footnote w:id="5">
    <w:p w14:paraId="384B5331" w14:textId="7F644081" w:rsidR="00783ADF" w:rsidRDefault="00783ADF" w:rsidP="00783ADF">
      <w:pPr>
        <w:rPr>
          <w:rFonts w:cstheme="minorHAnsi"/>
          <w:color w:val="333333"/>
          <w:shd w:val="clear" w:color="auto" w:fill="FFFFFF"/>
        </w:rPr>
      </w:pPr>
      <w:r>
        <w:rPr>
          <w:rStyle w:val="FootnoteReference"/>
        </w:rPr>
        <w:footnoteRef/>
      </w:r>
      <w:r>
        <w:t xml:space="preserve"> </w:t>
      </w:r>
      <w:r w:rsidRPr="00783ADF">
        <w:rPr>
          <w:rFonts w:cstheme="minorHAnsi"/>
          <w:color w:val="333333"/>
          <w:sz w:val="20"/>
          <w:szCs w:val="20"/>
          <w:shd w:val="clear" w:color="auto" w:fill="FFFFFF"/>
        </w:rPr>
        <w:t xml:space="preserve">Office of Disease Prevention and Health Promotion. </w:t>
      </w:r>
      <w:hyperlink r:id="rId5" w:history="1">
        <w:r w:rsidRPr="00783ADF">
          <w:rPr>
            <w:rStyle w:val="Hyperlink"/>
            <w:rFonts w:cstheme="minorHAnsi"/>
            <w:sz w:val="20"/>
            <w:szCs w:val="20"/>
            <w:shd w:val="clear" w:color="auto" w:fill="FFFFFF"/>
          </w:rPr>
          <w:t>Healthy People 2030</w:t>
        </w:r>
      </w:hyperlink>
      <w:r w:rsidRPr="00783ADF">
        <w:rPr>
          <w:rStyle w:val="Emphasis"/>
          <w:rFonts w:cstheme="minorHAnsi"/>
          <w:color w:val="333333"/>
          <w:sz w:val="20"/>
          <w:szCs w:val="20"/>
          <w:shd w:val="clear" w:color="auto" w:fill="FFFFFF"/>
        </w:rPr>
        <w:t>. </w:t>
      </w:r>
      <w:r w:rsidRPr="00783ADF">
        <w:rPr>
          <w:rFonts w:cstheme="minorHAnsi"/>
          <w:color w:val="333333"/>
          <w:sz w:val="20"/>
          <w:szCs w:val="20"/>
          <w:shd w:val="clear" w:color="auto" w:fill="FFFFFF"/>
        </w:rPr>
        <w:t>U.S. Department of Health and Human Services.</w:t>
      </w:r>
      <w:r>
        <w:rPr>
          <w:rFonts w:cstheme="minorHAnsi"/>
          <w:color w:val="333333"/>
          <w:shd w:val="clear" w:color="auto" w:fill="FFFFFF"/>
        </w:rPr>
        <w:t xml:space="preserve"> </w:t>
      </w:r>
      <w:r w:rsidRPr="006B3B8C">
        <w:rPr>
          <w:rFonts w:cstheme="minorHAnsi"/>
          <w:color w:val="333333"/>
          <w:shd w:val="clear" w:color="auto" w:fill="FFFFFF"/>
        </w:rPr>
        <w:t xml:space="preserve"> </w:t>
      </w:r>
    </w:p>
    <w:p w14:paraId="3CC354D2" w14:textId="77777777" w:rsidR="00783ADF" w:rsidRDefault="00783ADF" w:rsidP="00783ADF">
      <w:pPr>
        <w:rPr>
          <w:rFonts w:cstheme="minorHAnsi"/>
          <w:color w:val="333333"/>
          <w:shd w:val="clear" w:color="auto" w:fill="FFFFFF"/>
        </w:rPr>
      </w:pPr>
    </w:p>
    <w:p w14:paraId="5F69A0B8" w14:textId="41EF1914" w:rsidR="00783ADF" w:rsidRDefault="00783AD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45E98"/>
    <w:multiLevelType w:val="hybridMultilevel"/>
    <w:tmpl w:val="581E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4C16BB"/>
    <w:multiLevelType w:val="hybridMultilevel"/>
    <w:tmpl w:val="502A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675519"/>
    <w:multiLevelType w:val="hybridMultilevel"/>
    <w:tmpl w:val="EB30362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7BFF3E2E"/>
    <w:multiLevelType w:val="hybridMultilevel"/>
    <w:tmpl w:val="10DE8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8715504">
    <w:abstractNumId w:val="2"/>
  </w:num>
  <w:num w:numId="2" w16cid:durableId="1299074358">
    <w:abstractNumId w:val="0"/>
  </w:num>
  <w:num w:numId="3" w16cid:durableId="1071584370">
    <w:abstractNumId w:val="1"/>
  </w:num>
  <w:num w:numId="4" w16cid:durableId="19292722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882"/>
    <w:rsid w:val="00017BDA"/>
    <w:rsid w:val="00064E9E"/>
    <w:rsid w:val="00070BB9"/>
    <w:rsid w:val="00075DAF"/>
    <w:rsid w:val="000805E8"/>
    <w:rsid w:val="00093650"/>
    <w:rsid w:val="000A4FE3"/>
    <w:rsid w:val="000F1AB6"/>
    <w:rsid w:val="00124932"/>
    <w:rsid w:val="00141434"/>
    <w:rsid w:val="00174DEF"/>
    <w:rsid w:val="001C334A"/>
    <w:rsid w:val="001D1169"/>
    <w:rsid w:val="001D435A"/>
    <w:rsid w:val="00234D38"/>
    <w:rsid w:val="00250B5C"/>
    <w:rsid w:val="00257468"/>
    <w:rsid w:val="00290FB9"/>
    <w:rsid w:val="002E24F0"/>
    <w:rsid w:val="002E7FAC"/>
    <w:rsid w:val="002F29DE"/>
    <w:rsid w:val="003008BF"/>
    <w:rsid w:val="00312882"/>
    <w:rsid w:val="0031382A"/>
    <w:rsid w:val="0032458D"/>
    <w:rsid w:val="00327C14"/>
    <w:rsid w:val="00344012"/>
    <w:rsid w:val="0034736A"/>
    <w:rsid w:val="00386412"/>
    <w:rsid w:val="003C3A4E"/>
    <w:rsid w:val="003D20CB"/>
    <w:rsid w:val="003E5120"/>
    <w:rsid w:val="003F2A58"/>
    <w:rsid w:val="00405F2A"/>
    <w:rsid w:val="00432BF5"/>
    <w:rsid w:val="00442171"/>
    <w:rsid w:val="00467FFB"/>
    <w:rsid w:val="004724FE"/>
    <w:rsid w:val="00486597"/>
    <w:rsid w:val="00493E8A"/>
    <w:rsid w:val="004A3481"/>
    <w:rsid w:val="004E4522"/>
    <w:rsid w:val="00543786"/>
    <w:rsid w:val="00555720"/>
    <w:rsid w:val="00564B02"/>
    <w:rsid w:val="00586AC9"/>
    <w:rsid w:val="005A34FC"/>
    <w:rsid w:val="005C6059"/>
    <w:rsid w:val="005E0B87"/>
    <w:rsid w:val="005E10B6"/>
    <w:rsid w:val="00602FDC"/>
    <w:rsid w:val="006B3B8C"/>
    <w:rsid w:val="006C4EA5"/>
    <w:rsid w:val="006F3AB7"/>
    <w:rsid w:val="007072C8"/>
    <w:rsid w:val="00731233"/>
    <w:rsid w:val="00733B6F"/>
    <w:rsid w:val="00735DED"/>
    <w:rsid w:val="007570C7"/>
    <w:rsid w:val="00783ADF"/>
    <w:rsid w:val="0078576C"/>
    <w:rsid w:val="0078602A"/>
    <w:rsid w:val="007970C3"/>
    <w:rsid w:val="007D3076"/>
    <w:rsid w:val="007E2D84"/>
    <w:rsid w:val="008145C7"/>
    <w:rsid w:val="008336A8"/>
    <w:rsid w:val="0084500F"/>
    <w:rsid w:val="00882119"/>
    <w:rsid w:val="008A115E"/>
    <w:rsid w:val="008B00EE"/>
    <w:rsid w:val="008F225B"/>
    <w:rsid w:val="008F3A61"/>
    <w:rsid w:val="008F52A6"/>
    <w:rsid w:val="009100DA"/>
    <w:rsid w:val="009225D8"/>
    <w:rsid w:val="009278CF"/>
    <w:rsid w:val="009370E3"/>
    <w:rsid w:val="00953161"/>
    <w:rsid w:val="009561B5"/>
    <w:rsid w:val="0096277C"/>
    <w:rsid w:val="00965338"/>
    <w:rsid w:val="00981BB5"/>
    <w:rsid w:val="009C5D64"/>
    <w:rsid w:val="009F2E97"/>
    <w:rsid w:val="00A538AF"/>
    <w:rsid w:val="00A621B6"/>
    <w:rsid w:val="00A739B9"/>
    <w:rsid w:val="00A93DB6"/>
    <w:rsid w:val="00AA5646"/>
    <w:rsid w:val="00AA76EF"/>
    <w:rsid w:val="00AB1A84"/>
    <w:rsid w:val="00AC73AF"/>
    <w:rsid w:val="00AE4938"/>
    <w:rsid w:val="00B41152"/>
    <w:rsid w:val="00B637C5"/>
    <w:rsid w:val="00BA2C8B"/>
    <w:rsid w:val="00BD3D28"/>
    <w:rsid w:val="00BE778E"/>
    <w:rsid w:val="00C43B6C"/>
    <w:rsid w:val="00C710CD"/>
    <w:rsid w:val="00C91881"/>
    <w:rsid w:val="00CC0073"/>
    <w:rsid w:val="00CC66E4"/>
    <w:rsid w:val="00CE3611"/>
    <w:rsid w:val="00D06F70"/>
    <w:rsid w:val="00D21AB1"/>
    <w:rsid w:val="00D24BB1"/>
    <w:rsid w:val="00D57FC6"/>
    <w:rsid w:val="00DC2873"/>
    <w:rsid w:val="00DF3737"/>
    <w:rsid w:val="00E15D9A"/>
    <w:rsid w:val="00E50DA8"/>
    <w:rsid w:val="00E60D2C"/>
    <w:rsid w:val="00E7707D"/>
    <w:rsid w:val="00E934E1"/>
    <w:rsid w:val="00EA2415"/>
    <w:rsid w:val="00EA4C80"/>
    <w:rsid w:val="00EA6AFA"/>
    <w:rsid w:val="00EB020A"/>
    <w:rsid w:val="00EB3133"/>
    <w:rsid w:val="00EB6E64"/>
    <w:rsid w:val="00ED7534"/>
    <w:rsid w:val="00EE5768"/>
    <w:rsid w:val="00F15492"/>
    <w:rsid w:val="00F408BA"/>
    <w:rsid w:val="00F43B8E"/>
    <w:rsid w:val="00F4424A"/>
    <w:rsid w:val="00F76D8E"/>
    <w:rsid w:val="00F8372D"/>
    <w:rsid w:val="00F9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BBAE4F"/>
  <w15:chartTrackingRefBased/>
  <w15:docId w15:val="{D504C747-B12D-3445-B994-812ADFD0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70BB9"/>
    <w:rPr>
      <w:sz w:val="20"/>
      <w:szCs w:val="20"/>
    </w:rPr>
  </w:style>
  <w:style w:type="character" w:customStyle="1" w:styleId="FootnoteTextChar">
    <w:name w:val="Footnote Text Char"/>
    <w:basedOn w:val="DefaultParagraphFont"/>
    <w:link w:val="FootnoteText"/>
    <w:uiPriority w:val="99"/>
    <w:rsid w:val="00070BB9"/>
    <w:rPr>
      <w:sz w:val="20"/>
      <w:szCs w:val="20"/>
    </w:rPr>
  </w:style>
  <w:style w:type="character" w:styleId="FootnoteReference">
    <w:name w:val="footnote reference"/>
    <w:basedOn w:val="DefaultParagraphFont"/>
    <w:uiPriority w:val="99"/>
    <w:semiHidden/>
    <w:unhideWhenUsed/>
    <w:rsid w:val="00070BB9"/>
    <w:rPr>
      <w:vertAlign w:val="superscript"/>
    </w:rPr>
  </w:style>
  <w:style w:type="character" w:styleId="Hyperlink">
    <w:name w:val="Hyperlink"/>
    <w:basedOn w:val="DefaultParagraphFont"/>
    <w:uiPriority w:val="99"/>
    <w:unhideWhenUsed/>
    <w:rsid w:val="00070BB9"/>
    <w:rPr>
      <w:color w:val="0563C1" w:themeColor="hyperlink"/>
      <w:u w:val="single"/>
    </w:rPr>
  </w:style>
  <w:style w:type="character" w:styleId="UnresolvedMention">
    <w:name w:val="Unresolved Mention"/>
    <w:basedOn w:val="DefaultParagraphFont"/>
    <w:uiPriority w:val="99"/>
    <w:semiHidden/>
    <w:unhideWhenUsed/>
    <w:rsid w:val="00070BB9"/>
    <w:rPr>
      <w:color w:val="605E5C"/>
      <w:shd w:val="clear" w:color="auto" w:fill="E1DFDD"/>
    </w:rPr>
  </w:style>
  <w:style w:type="character" w:styleId="FollowedHyperlink">
    <w:name w:val="FollowedHyperlink"/>
    <w:basedOn w:val="DefaultParagraphFont"/>
    <w:uiPriority w:val="99"/>
    <w:semiHidden/>
    <w:unhideWhenUsed/>
    <w:rsid w:val="00093650"/>
    <w:rPr>
      <w:color w:val="954F72" w:themeColor="followedHyperlink"/>
      <w:u w:val="single"/>
    </w:rPr>
  </w:style>
  <w:style w:type="paragraph" w:styleId="ListParagraph">
    <w:name w:val="List Paragraph"/>
    <w:basedOn w:val="Normal"/>
    <w:uiPriority w:val="34"/>
    <w:qFormat/>
    <w:rsid w:val="004A3481"/>
    <w:pPr>
      <w:ind w:left="720"/>
      <w:contextualSpacing/>
    </w:pPr>
  </w:style>
  <w:style w:type="character" w:styleId="Emphasis">
    <w:name w:val="Emphasis"/>
    <w:basedOn w:val="DefaultParagraphFont"/>
    <w:uiPriority w:val="20"/>
    <w:qFormat/>
    <w:rsid w:val="00234D38"/>
    <w:rPr>
      <w:i/>
      <w:iCs/>
    </w:rPr>
  </w:style>
  <w:style w:type="paragraph" w:styleId="BalloonText">
    <w:name w:val="Balloon Text"/>
    <w:basedOn w:val="Normal"/>
    <w:link w:val="BalloonTextChar"/>
    <w:uiPriority w:val="99"/>
    <w:semiHidden/>
    <w:unhideWhenUsed/>
    <w:rsid w:val="00493E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3E8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93E8A"/>
    <w:rPr>
      <w:sz w:val="16"/>
      <w:szCs w:val="16"/>
    </w:rPr>
  </w:style>
  <w:style w:type="paragraph" w:styleId="CommentText">
    <w:name w:val="annotation text"/>
    <w:basedOn w:val="Normal"/>
    <w:link w:val="CommentTextChar"/>
    <w:uiPriority w:val="99"/>
    <w:semiHidden/>
    <w:unhideWhenUsed/>
    <w:rsid w:val="00493E8A"/>
    <w:rPr>
      <w:sz w:val="20"/>
      <w:szCs w:val="20"/>
    </w:rPr>
  </w:style>
  <w:style w:type="character" w:customStyle="1" w:styleId="CommentTextChar">
    <w:name w:val="Comment Text Char"/>
    <w:basedOn w:val="DefaultParagraphFont"/>
    <w:link w:val="CommentText"/>
    <w:uiPriority w:val="99"/>
    <w:semiHidden/>
    <w:rsid w:val="00493E8A"/>
    <w:rPr>
      <w:sz w:val="20"/>
      <w:szCs w:val="20"/>
    </w:rPr>
  </w:style>
  <w:style w:type="paragraph" w:styleId="CommentSubject">
    <w:name w:val="annotation subject"/>
    <w:basedOn w:val="CommentText"/>
    <w:next w:val="CommentText"/>
    <w:link w:val="CommentSubjectChar"/>
    <w:uiPriority w:val="99"/>
    <w:semiHidden/>
    <w:unhideWhenUsed/>
    <w:rsid w:val="00493E8A"/>
    <w:rPr>
      <w:b/>
      <w:bCs/>
    </w:rPr>
  </w:style>
  <w:style w:type="character" w:customStyle="1" w:styleId="CommentSubjectChar">
    <w:name w:val="Comment Subject Char"/>
    <w:basedOn w:val="CommentTextChar"/>
    <w:link w:val="CommentSubject"/>
    <w:uiPriority w:val="99"/>
    <w:semiHidden/>
    <w:rsid w:val="00493E8A"/>
    <w:rPr>
      <w:b/>
      <w:bCs/>
      <w:sz w:val="20"/>
      <w:szCs w:val="20"/>
    </w:rPr>
  </w:style>
  <w:style w:type="paragraph" w:styleId="Revision">
    <w:name w:val="Revision"/>
    <w:hidden/>
    <w:uiPriority w:val="99"/>
    <w:semiHidden/>
    <w:rsid w:val="007970C3"/>
  </w:style>
  <w:style w:type="paragraph" w:customStyle="1" w:styleId="pf0">
    <w:name w:val="pf0"/>
    <w:basedOn w:val="Normal"/>
    <w:rsid w:val="000F1AB6"/>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0F1AB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6506">
      <w:bodyDiv w:val="1"/>
      <w:marLeft w:val="0"/>
      <w:marRight w:val="0"/>
      <w:marTop w:val="0"/>
      <w:marBottom w:val="0"/>
      <w:divBdr>
        <w:top w:val="none" w:sz="0" w:space="0" w:color="auto"/>
        <w:left w:val="none" w:sz="0" w:space="0" w:color="auto"/>
        <w:bottom w:val="none" w:sz="0" w:space="0" w:color="auto"/>
        <w:right w:val="none" w:sz="0" w:space="0" w:color="auto"/>
      </w:divBdr>
    </w:div>
    <w:div w:id="122233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edhub.ama-assn.org/steps-forward/module/2702762" TargetMode="External"/><Relationship Id="rId2" Type="http://schemas.openxmlformats.org/officeDocument/2006/relationships/hyperlink" Target="https://www.hhs.gov/surgeongeneral/priorities/health-misinformation/index.html" TargetMode="External"/><Relationship Id="rId1" Type="http://schemas.openxmlformats.org/officeDocument/2006/relationships/hyperlink" Target="https://covid.cdc.gov/covid-data-tracker/" TargetMode="External"/><Relationship Id="rId5" Type="http://schemas.openxmlformats.org/officeDocument/2006/relationships/hyperlink" Target="https://health.gov/healthypeople" TargetMode="External"/><Relationship Id="rId4" Type="http://schemas.openxmlformats.org/officeDocument/2006/relationships/hyperlink" Target="https://selfmadehealth.org/educate/determinants-of-health-fact-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ae7409b-135b-4182-8f70-123cbeb6faa3}" enabled="1" method="Privileged" siteId="{5b20fd2f-7cbc-4a35-bd99-1e75eb37bca8}"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4</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Amy Stone Scientific and Medical Communications, In</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Stone</dc:creator>
  <cp:keywords/>
  <dc:description/>
  <cp:lastModifiedBy>Dwana Calhoun</cp:lastModifiedBy>
  <cp:revision>2</cp:revision>
  <dcterms:created xsi:type="dcterms:W3CDTF">2022-07-14T21:43:00Z</dcterms:created>
  <dcterms:modified xsi:type="dcterms:W3CDTF">2022-07-14T21:43:00Z</dcterms:modified>
</cp:coreProperties>
</file>